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60F3E" w14:textId="17C17917" w:rsidR="004D35DC" w:rsidRDefault="004D35DC" w:rsidP="004D35DC">
      <w:pPr>
        <w:pStyle w:val="EC-Title-5"/>
      </w:pPr>
      <w:bookmarkStart w:id="0" w:name="_Toc531333940"/>
      <w:bookmarkStart w:id="1" w:name="_Toc531334807"/>
      <w:bookmarkStart w:id="2" w:name="_Toc175577658"/>
      <w:bookmarkStart w:id="3" w:name="_Toc531012461"/>
      <w:r>
        <w:t>Surveillance Atlas of Infectious Diseases for Sexually Transmitted Infections (</w:t>
      </w:r>
      <w:r w:rsidR="00EC4278">
        <w:t>20</w:t>
      </w:r>
      <w:r w:rsidR="006B3285">
        <w:t>2</w:t>
      </w:r>
      <w:r w:rsidR="006923AD">
        <w:t>3</w:t>
      </w:r>
      <w:r w:rsidR="00254E99">
        <w:t xml:space="preserve"> </w:t>
      </w:r>
      <w:r>
        <w:t>data)</w:t>
      </w:r>
      <w:bookmarkEnd w:id="0"/>
      <w:bookmarkEnd w:id="1"/>
      <w:bookmarkEnd w:id="2"/>
      <w:r>
        <w:t xml:space="preserve"> </w:t>
      </w:r>
    </w:p>
    <w:p w14:paraId="5B391979" w14:textId="70C39975" w:rsidR="004D35DC" w:rsidRPr="004D35DC" w:rsidRDefault="004D35DC" w:rsidP="004D35DC">
      <w:pPr>
        <w:pStyle w:val="EC-Title-6"/>
        <w:rPr>
          <w:b w:val="0"/>
          <w:color w:val="auto"/>
          <w:sz w:val="14"/>
          <w:szCs w:val="24"/>
          <w:lang w:eastAsia="ko-KR"/>
        </w:rPr>
      </w:pPr>
      <w:bookmarkStart w:id="4" w:name="_Toc531333941"/>
      <w:bookmarkStart w:id="5" w:name="_Toc531334808"/>
      <w:bookmarkStart w:id="6" w:name="_Toc175577659"/>
      <w:r w:rsidRPr="004D35DC">
        <w:rPr>
          <w:b w:val="0"/>
        </w:rPr>
        <w:t>Information about the Data</w:t>
      </w:r>
      <w:bookmarkEnd w:id="4"/>
      <w:bookmarkEnd w:id="5"/>
      <w:bookmarkEnd w:id="6"/>
    </w:p>
    <w:bookmarkEnd w:id="3" w:displacedByCustomXml="next"/>
    <w:bookmarkStart w:id="7" w:name="_Toc531334809" w:displacedByCustomXml="next"/>
    <w:bookmarkStart w:id="8" w:name="_Toc531333942" w:displacedByCustomXml="next"/>
    <w:sdt>
      <w:sdtPr>
        <w:rPr>
          <w:noProof w:val="0"/>
        </w:rPr>
        <w:id w:val="1439723611"/>
        <w:docPartObj>
          <w:docPartGallery w:val="Table of Contents"/>
          <w:docPartUnique/>
        </w:docPartObj>
      </w:sdtPr>
      <w:sdtEndPr/>
      <w:sdtContent>
        <w:p w14:paraId="2221C5A1" w14:textId="77777777" w:rsidR="000A48F5" w:rsidRPr="006B231B" w:rsidRDefault="00F52848" w:rsidP="006B231B">
          <w:pPr>
            <w:pStyle w:val="TOC2"/>
            <w:rPr>
              <w:rFonts w:cs="Tahoma"/>
              <w:b/>
              <w:bCs/>
              <w:noProof w:val="0"/>
              <w:color w:val="69AE23"/>
              <w:sz w:val="30"/>
              <w:szCs w:val="30"/>
              <w:lang w:eastAsia="en-US"/>
            </w:rPr>
          </w:pPr>
          <w:r w:rsidRPr="006B231B">
            <w:rPr>
              <w:rFonts w:cs="Tahoma"/>
              <w:b/>
              <w:bCs/>
              <w:noProof w:val="0"/>
              <w:color w:val="69AE23"/>
              <w:sz w:val="30"/>
              <w:szCs w:val="30"/>
              <w:lang w:eastAsia="en-US"/>
            </w:rPr>
            <w:t>Contents</w:t>
          </w:r>
          <w:bookmarkEnd w:id="8"/>
          <w:bookmarkEnd w:id="7"/>
        </w:p>
        <w:p w14:paraId="11B9CB41" w14:textId="77777777" w:rsidR="00350D41" w:rsidRDefault="00384807" w:rsidP="006B231B">
          <w:pPr>
            <w:pStyle w:val="TOC2"/>
          </w:pPr>
          <w:r>
            <w:t xml:space="preserve"> </w:t>
          </w:r>
          <w:r w:rsidR="00F52848">
            <w:rPr>
              <w:noProof w:val="0"/>
              <w:sz w:val="30"/>
              <w:szCs w:val="30"/>
              <w:lang w:eastAsia="en-US"/>
            </w:rPr>
            <w:fldChar w:fldCharType="begin"/>
          </w:r>
          <w:r w:rsidR="00F52848">
            <w:instrText xml:space="preserve"> TOC \o "1-3" \h \z \u </w:instrText>
          </w:r>
          <w:r w:rsidR="00F52848">
            <w:rPr>
              <w:noProof w:val="0"/>
              <w:sz w:val="30"/>
              <w:szCs w:val="30"/>
              <w:lang w:eastAsia="en-US"/>
            </w:rPr>
            <w:fldChar w:fldCharType="separate"/>
          </w:r>
        </w:p>
        <w:p w14:paraId="1FB7412D" w14:textId="2DD0DAFF"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658" w:history="1">
            <w:r w:rsidR="00350D41" w:rsidRPr="007A7ECB">
              <w:rPr>
                <w:rStyle w:val="Hyperlink"/>
              </w:rPr>
              <w:t>Surveillance Atlas of Infectious Diseases for Sexually Transmitted Infections (2023 data)</w:t>
            </w:r>
            <w:r w:rsidR="00350D41">
              <w:rPr>
                <w:webHidden/>
              </w:rPr>
              <w:tab/>
            </w:r>
            <w:r w:rsidR="00350D41">
              <w:rPr>
                <w:webHidden/>
              </w:rPr>
              <w:fldChar w:fldCharType="begin"/>
            </w:r>
            <w:r w:rsidR="00350D41">
              <w:rPr>
                <w:webHidden/>
              </w:rPr>
              <w:instrText xml:space="preserve"> PAGEREF _Toc175577658 \h </w:instrText>
            </w:r>
            <w:r w:rsidR="00350D41">
              <w:rPr>
                <w:webHidden/>
              </w:rPr>
            </w:r>
            <w:r w:rsidR="00350D41">
              <w:rPr>
                <w:webHidden/>
              </w:rPr>
              <w:fldChar w:fldCharType="separate"/>
            </w:r>
            <w:r w:rsidR="00350D41">
              <w:rPr>
                <w:webHidden/>
              </w:rPr>
              <w:t>1</w:t>
            </w:r>
            <w:r w:rsidR="00350D41">
              <w:rPr>
                <w:webHidden/>
              </w:rPr>
              <w:fldChar w:fldCharType="end"/>
            </w:r>
          </w:hyperlink>
        </w:p>
        <w:p w14:paraId="544C168A" w14:textId="71D4DFC6"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59" w:history="1">
            <w:r w:rsidR="00350D41" w:rsidRPr="007A7ECB">
              <w:rPr>
                <w:rStyle w:val="Hyperlink"/>
                <w:noProof/>
              </w:rPr>
              <w:t>Information about the Data</w:t>
            </w:r>
            <w:r w:rsidR="00350D41">
              <w:rPr>
                <w:noProof/>
                <w:webHidden/>
              </w:rPr>
              <w:tab/>
            </w:r>
            <w:r w:rsidR="00350D41">
              <w:rPr>
                <w:noProof/>
                <w:webHidden/>
              </w:rPr>
              <w:fldChar w:fldCharType="begin"/>
            </w:r>
            <w:r w:rsidR="00350D41">
              <w:rPr>
                <w:noProof/>
                <w:webHidden/>
              </w:rPr>
              <w:instrText xml:space="preserve"> PAGEREF _Toc175577659 \h </w:instrText>
            </w:r>
            <w:r w:rsidR="00350D41">
              <w:rPr>
                <w:noProof/>
                <w:webHidden/>
              </w:rPr>
            </w:r>
            <w:r w:rsidR="00350D41">
              <w:rPr>
                <w:noProof/>
                <w:webHidden/>
              </w:rPr>
              <w:fldChar w:fldCharType="separate"/>
            </w:r>
            <w:r w:rsidR="00350D41">
              <w:rPr>
                <w:noProof/>
                <w:webHidden/>
              </w:rPr>
              <w:t>1</w:t>
            </w:r>
            <w:r w:rsidR="00350D41">
              <w:rPr>
                <w:noProof/>
                <w:webHidden/>
              </w:rPr>
              <w:fldChar w:fldCharType="end"/>
            </w:r>
          </w:hyperlink>
        </w:p>
        <w:p w14:paraId="06099902" w14:textId="765A6EEC"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660" w:history="1">
            <w:r w:rsidR="00350D41" w:rsidRPr="007A7ECB">
              <w:rPr>
                <w:rStyle w:val="Hyperlink"/>
                <w:spacing w:val="-8"/>
              </w:rPr>
              <w:t xml:space="preserve">Chlamydia infection (excluding </w:t>
            </w:r>
            <w:r w:rsidR="00350D41" w:rsidRPr="007A7ECB">
              <w:rPr>
                <w:rStyle w:val="Hyperlink"/>
                <w:i/>
                <w:spacing w:val="-8"/>
              </w:rPr>
              <w:t>Lymphogranuloma venereum</w:t>
            </w:r>
            <w:r w:rsidR="00350D41" w:rsidRPr="007A7ECB">
              <w:rPr>
                <w:rStyle w:val="Hyperlink"/>
                <w:spacing w:val="-8"/>
              </w:rPr>
              <w:t>)</w:t>
            </w:r>
            <w:r w:rsidR="00350D41">
              <w:rPr>
                <w:webHidden/>
              </w:rPr>
              <w:tab/>
            </w:r>
            <w:r w:rsidR="00350D41">
              <w:rPr>
                <w:webHidden/>
              </w:rPr>
              <w:fldChar w:fldCharType="begin"/>
            </w:r>
            <w:r w:rsidR="00350D41">
              <w:rPr>
                <w:webHidden/>
              </w:rPr>
              <w:instrText xml:space="preserve"> PAGEREF _Toc175577660 \h </w:instrText>
            </w:r>
            <w:r w:rsidR="00350D41">
              <w:rPr>
                <w:webHidden/>
              </w:rPr>
            </w:r>
            <w:r w:rsidR="00350D41">
              <w:rPr>
                <w:webHidden/>
              </w:rPr>
              <w:fldChar w:fldCharType="separate"/>
            </w:r>
            <w:r w:rsidR="00350D41">
              <w:rPr>
                <w:webHidden/>
              </w:rPr>
              <w:t>3</w:t>
            </w:r>
            <w:r w:rsidR="00350D41">
              <w:rPr>
                <w:webHidden/>
              </w:rPr>
              <w:fldChar w:fldCharType="end"/>
            </w:r>
          </w:hyperlink>
        </w:p>
        <w:p w14:paraId="393F9248" w14:textId="6363C7A7"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1" w:history="1">
            <w:r w:rsidR="00350D41" w:rsidRPr="007A7ECB">
              <w:rPr>
                <w:rStyle w:val="Hyperlink"/>
                <w:noProof/>
              </w:rPr>
              <w:t>Data</w:t>
            </w:r>
            <w:r w:rsidR="00350D41">
              <w:rPr>
                <w:noProof/>
                <w:webHidden/>
              </w:rPr>
              <w:tab/>
            </w:r>
            <w:r w:rsidR="00350D41">
              <w:rPr>
                <w:noProof/>
                <w:webHidden/>
              </w:rPr>
              <w:fldChar w:fldCharType="begin"/>
            </w:r>
            <w:r w:rsidR="00350D41">
              <w:rPr>
                <w:noProof/>
                <w:webHidden/>
              </w:rPr>
              <w:instrText xml:space="preserve"> PAGEREF _Toc175577661 \h </w:instrText>
            </w:r>
            <w:r w:rsidR="00350D41">
              <w:rPr>
                <w:noProof/>
                <w:webHidden/>
              </w:rPr>
            </w:r>
            <w:r w:rsidR="00350D41">
              <w:rPr>
                <w:noProof/>
                <w:webHidden/>
              </w:rPr>
              <w:fldChar w:fldCharType="separate"/>
            </w:r>
            <w:r w:rsidR="00350D41">
              <w:rPr>
                <w:noProof/>
                <w:webHidden/>
              </w:rPr>
              <w:t>3</w:t>
            </w:r>
            <w:r w:rsidR="00350D41">
              <w:rPr>
                <w:noProof/>
                <w:webHidden/>
              </w:rPr>
              <w:fldChar w:fldCharType="end"/>
            </w:r>
          </w:hyperlink>
        </w:p>
        <w:p w14:paraId="56DBA29B" w14:textId="1B3D2444"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2" w:history="1">
            <w:r w:rsidR="00350D41" w:rsidRPr="007A7ECB">
              <w:rPr>
                <w:rStyle w:val="Hyperlink"/>
                <w:noProof/>
              </w:rPr>
              <w:t>Data collection and analysis</w:t>
            </w:r>
            <w:r w:rsidR="00350D41">
              <w:rPr>
                <w:noProof/>
                <w:webHidden/>
              </w:rPr>
              <w:tab/>
            </w:r>
            <w:r w:rsidR="00350D41">
              <w:rPr>
                <w:noProof/>
                <w:webHidden/>
              </w:rPr>
              <w:fldChar w:fldCharType="begin"/>
            </w:r>
            <w:r w:rsidR="00350D41">
              <w:rPr>
                <w:noProof/>
                <w:webHidden/>
              </w:rPr>
              <w:instrText xml:space="preserve"> PAGEREF _Toc175577662 \h </w:instrText>
            </w:r>
            <w:r w:rsidR="00350D41">
              <w:rPr>
                <w:noProof/>
                <w:webHidden/>
              </w:rPr>
            </w:r>
            <w:r w:rsidR="00350D41">
              <w:rPr>
                <w:noProof/>
                <w:webHidden/>
              </w:rPr>
              <w:fldChar w:fldCharType="separate"/>
            </w:r>
            <w:r w:rsidR="00350D41">
              <w:rPr>
                <w:noProof/>
                <w:webHidden/>
              </w:rPr>
              <w:t>3</w:t>
            </w:r>
            <w:r w:rsidR="00350D41">
              <w:rPr>
                <w:noProof/>
                <w:webHidden/>
              </w:rPr>
              <w:fldChar w:fldCharType="end"/>
            </w:r>
          </w:hyperlink>
        </w:p>
        <w:p w14:paraId="42F9F4F7" w14:textId="7BFDBF83"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3" w:history="1">
            <w:r w:rsidR="00350D41" w:rsidRPr="007A7ECB">
              <w:rPr>
                <w:rStyle w:val="Hyperlink"/>
                <w:noProof/>
              </w:rPr>
              <w:t>Surveillance Atlas indicators</w:t>
            </w:r>
            <w:r w:rsidR="00350D41">
              <w:rPr>
                <w:noProof/>
                <w:webHidden/>
              </w:rPr>
              <w:tab/>
            </w:r>
            <w:r w:rsidR="00350D41">
              <w:rPr>
                <w:noProof/>
                <w:webHidden/>
              </w:rPr>
              <w:fldChar w:fldCharType="begin"/>
            </w:r>
            <w:r w:rsidR="00350D41">
              <w:rPr>
                <w:noProof/>
                <w:webHidden/>
              </w:rPr>
              <w:instrText xml:space="preserve"> PAGEREF _Toc175577663 \h </w:instrText>
            </w:r>
            <w:r w:rsidR="00350D41">
              <w:rPr>
                <w:noProof/>
                <w:webHidden/>
              </w:rPr>
            </w:r>
            <w:r w:rsidR="00350D41">
              <w:rPr>
                <w:noProof/>
                <w:webHidden/>
              </w:rPr>
              <w:fldChar w:fldCharType="separate"/>
            </w:r>
            <w:r w:rsidR="00350D41">
              <w:rPr>
                <w:noProof/>
                <w:webHidden/>
              </w:rPr>
              <w:t>4</w:t>
            </w:r>
            <w:r w:rsidR="00350D41">
              <w:rPr>
                <w:noProof/>
                <w:webHidden/>
              </w:rPr>
              <w:fldChar w:fldCharType="end"/>
            </w:r>
          </w:hyperlink>
        </w:p>
        <w:p w14:paraId="0A378DB6" w14:textId="75B144A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4" w:history="1">
            <w:r w:rsidR="00350D41" w:rsidRPr="007A7ECB">
              <w:rPr>
                <w:rStyle w:val="Hyperlink"/>
                <w:rFonts w:eastAsia="Arial Unicode MS"/>
                <w:noProof/>
                <w:kern w:val="22"/>
              </w:rPr>
              <w:t>Symbols used in the Surveillance Atlas table:</w:t>
            </w:r>
            <w:r w:rsidR="00350D41">
              <w:rPr>
                <w:noProof/>
                <w:webHidden/>
              </w:rPr>
              <w:tab/>
            </w:r>
            <w:r w:rsidR="00350D41">
              <w:rPr>
                <w:noProof/>
                <w:webHidden/>
              </w:rPr>
              <w:fldChar w:fldCharType="begin"/>
            </w:r>
            <w:r w:rsidR="00350D41">
              <w:rPr>
                <w:noProof/>
                <w:webHidden/>
              </w:rPr>
              <w:instrText xml:space="preserve"> PAGEREF _Toc175577664 \h </w:instrText>
            </w:r>
            <w:r w:rsidR="00350D41">
              <w:rPr>
                <w:noProof/>
                <w:webHidden/>
              </w:rPr>
            </w:r>
            <w:r w:rsidR="00350D41">
              <w:rPr>
                <w:noProof/>
                <w:webHidden/>
              </w:rPr>
              <w:fldChar w:fldCharType="separate"/>
            </w:r>
            <w:r w:rsidR="00350D41">
              <w:rPr>
                <w:noProof/>
                <w:webHidden/>
              </w:rPr>
              <w:t>4</w:t>
            </w:r>
            <w:r w:rsidR="00350D41">
              <w:rPr>
                <w:noProof/>
                <w:webHidden/>
              </w:rPr>
              <w:fldChar w:fldCharType="end"/>
            </w:r>
          </w:hyperlink>
        </w:p>
        <w:p w14:paraId="10443AC3" w14:textId="0760877E"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5" w:history="1">
            <w:r w:rsidR="00350D41" w:rsidRPr="007A7ECB">
              <w:rPr>
                <w:rStyle w:val="Hyperlink"/>
                <w:noProof/>
              </w:rPr>
              <w:t>Data quality</w:t>
            </w:r>
            <w:r w:rsidR="00350D41">
              <w:rPr>
                <w:noProof/>
                <w:webHidden/>
              </w:rPr>
              <w:tab/>
            </w:r>
            <w:r w:rsidR="00350D41">
              <w:rPr>
                <w:noProof/>
                <w:webHidden/>
              </w:rPr>
              <w:fldChar w:fldCharType="begin"/>
            </w:r>
            <w:r w:rsidR="00350D41">
              <w:rPr>
                <w:noProof/>
                <w:webHidden/>
              </w:rPr>
              <w:instrText xml:space="preserve"> PAGEREF _Toc175577665 \h </w:instrText>
            </w:r>
            <w:r w:rsidR="00350D41">
              <w:rPr>
                <w:noProof/>
                <w:webHidden/>
              </w:rPr>
            </w:r>
            <w:r w:rsidR="00350D41">
              <w:rPr>
                <w:noProof/>
                <w:webHidden/>
              </w:rPr>
              <w:fldChar w:fldCharType="separate"/>
            </w:r>
            <w:r w:rsidR="00350D41">
              <w:rPr>
                <w:noProof/>
                <w:webHidden/>
              </w:rPr>
              <w:t>4</w:t>
            </w:r>
            <w:r w:rsidR="00350D41">
              <w:rPr>
                <w:noProof/>
                <w:webHidden/>
              </w:rPr>
              <w:fldChar w:fldCharType="end"/>
            </w:r>
          </w:hyperlink>
        </w:p>
        <w:p w14:paraId="248F14CC" w14:textId="00910338"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6" w:history="1">
            <w:r w:rsidR="00350D41" w:rsidRPr="007A7ECB">
              <w:rPr>
                <w:rStyle w:val="Hyperlink"/>
                <w:noProof/>
              </w:rPr>
              <w:t>Interpretation</w:t>
            </w:r>
            <w:r w:rsidR="00350D41">
              <w:rPr>
                <w:noProof/>
                <w:webHidden/>
              </w:rPr>
              <w:tab/>
            </w:r>
            <w:r w:rsidR="00350D41">
              <w:rPr>
                <w:noProof/>
                <w:webHidden/>
              </w:rPr>
              <w:fldChar w:fldCharType="begin"/>
            </w:r>
            <w:r w:rsidR="00350D41">
              <w:rPr>
                <w:noProof/>
                <w:webHidden/>
              </w:rPr>
              <w:instrText xml:space="preserve"> PAGEREF _Toc175577666 \h </w:instrText>
            </w:r>
            <w:r w:rsidR="00350D41">
              <w:rPr>
                <w:noProof/>
                <w:webHidden/>
              </w:rPr>
            </w:r>
            <w:r w:rsidR="00350D41">
              <w:rPr>
                <w:noProof/>
                <w:webHidden/>
              </w:rPr>
              <w:fldChar w:fldCharType="separate"/>
            </w:r>
            <w:r w:rsidR="00350D41">
              <w:rPr>
                <w:noProof/>
                <w:webHidden/>
              </w:rPr>
              <w:t>4</w:t>
            </w:r>
            <w:r w:rsidR="00350D41">
              <w:rPr>
                <w:noProof/>
                <w:webHidden/>
              </w:rPr>
              <w:fldChar w:fldCharType="end"/>
            </w:r>
          </w:hyperlink>
        </w:p>
        <w:p w14:paraId="201D944D" w14:textId="26886E8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7" w:history="1">
            <w:r w:rsidR="00350D41" w:rsidRPr="007A7ECB">
              <w:rPr>
                <w:rStyle w:val="Hyperlink"/>
                <w:noProof/>
              </w:rPr>
              <w:t>Reports published by ECDC on chlamydia infection</w:t>
            </w:r>
            <w:r w:rsidR="00350D41">
              <w:rPr>
                <w:noProof/>
                <w:webHidden/>
              </w:rPr>
              <w:tab/>
            </w:r>
            <w:r w:rsidR="00350D41">
              <w:rPr>
                <w:noProof/>
                <w:webHidden/>
              </w:rPr>
              <w:fldChar w:fldCharType="begin"/>
            </w:r>
            <w:r w:rsidR="00350D41">
              <w:rPr>
                <w:noProof/>
                <w:webHidden/>
              </w:rPr>
              <w:instrText xml:space="preserve"> PAGEREF _Toc175577667 \h </w:instrText>
            </w:r>
            <w:r w:rsidR="00350D41">
              <w:rPr>
                <w:noProof/>
                <w:webHidden/>
              </w:rPr>
            </w:r>
            <w:r w:rsidR="00350D41">
              <w:rPr>
                <w:noProof/>
                <w:webHidden/>
              </w:rPr>
              <w:fldChar w:fldCharType="separate"/>
            </w:r>
            <w:r w:rsidR="00350D41">
              <w:rPr>
                <w:noProof/>
                <w:webHidden/>
              </w:rPr>
              <w:t>5</w:t>
            </w:r>
            <w:r w:rsidR="00350D41">
              <w:rPr>
                <w:noProof/>
                <w:webHidden/>
              </w:rPr>
              <w:fldChar w:fldCharType="end"/>
            </w:r>
          </w:hyperlink>
        </w:p>
        <w:p w14:paraId="29CF1EAC" w14:textId="73875190"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68" w:history="1">
            <w:r w:rsidR="00350D41" w:rsidRPr="007A7ECB">
              <w:rPr>
                <w:rStyle w:val="Hyperlink"/>
                <w:noProof/>
              </w:rPr>
              <w:t>Surveillance systems overview, chlamydia, 2023</w:t>
            </w:r>
            <w:r w:rsidR="00350D41">
              <w:rPr>
                <w:noProof/>
                <w:webHidden/>
              </w:rPr>
              <w:tab/>
            </w:r>
            <w:r w:rsidR="00350D41">
              <w:rPr>
                <w:noProof/>
                <w:webHidden/>
              </w:rPr>
              <w:fldChar w:fldCharType="begin"/>
            </w:r>
            <w:r w:rsidR="00350D41">
              <w:rPr>
                <w:noProof/>
                <w:webHidden/>
              </w:rPr>
              <w:instrText xml:space="preserve"> PAGEREF _Toc175577668 \h </w:instrText>
            </w:r>
            <w:r w:rsidR="00350D41">
              <w:rPr>
                <w:noProof/>
                <w:webHidden/>
              </w:rPr>
            </w:r>
            <w:r w:rsidR="00350D41">
              <w:rPr>
                <w:noProof/>
                <w:webHidden/>
              </w:rPr>
              <w:fldChar w:fldCharType="separate"/>
            </w:r>
            <w:r w:rsidR="00350D41">
              <w:rPr>
                <w:noProof/>
                <w:webHidden/>
              </w:rPr>
              <w:t>6</w:t>
            </w:r>
            <w:r w:rsidR="00350D41">
              <w:rPr>
                <w:noProof/>
                <w:webHidden/>
              </w:rPr>
              <w:fldChar w:fldCharType="end"/>
            </w:r>
          </w:hyperlink>
        </w:p>
        <w:p w14:paraId="09D87804" w14:textId="1355C251"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669" w:history="1">
            <w:r w:rsidR="00350D41" w:rsidRPr="007A7ECB">
              <w:rPr>
                <w:rStyle w:val="Hyperlink"/>
              </w:rPr>
              <w:t>Gonorrhoea</w:t>
            </w:r>
            <w:r w:rsidR="00350D41">
              <w:rPr>
                <w:webHidden/>
              </w:rPr>
              <w:tab/>
            </w:r>
            <w:r w:rsidR="00350D41">
              <w:rPr>
                <w:webHidden/>
              </w:rPr>
              <w:fldChar w:fldCharType="begin"/>
            </w:r>
            <w:r w:rsidR="00350D41">
              <w:rPr>
                <w:webHidden/>
              </w:rPr>
              <w:instrText xml:space="preserve"> PAGEREF _Toc175577669 \h </w:instrText>
            </w:r>
            <w:r w:rsidR="00350D41">
              <w:rPr>
                <w:webHidden/>
              </w:rPr>
            </w:r>
            <w:r w:rsidR="00350D41">
              <w:rPr>
                <w:webHidden/>
              </w:rPr>
              <w:fldChar w:fldCharType="separate"/>
            </w:r>
            <w:r w:rsidR="00350D41">
              <w:rPr>
                <w:webHidden/>
              </w:rPr>
              <w:t>7</w:t>
            </w:r>
            <w:r w:rsidR="00350D41">
              <w:rPr>
                <w:webHidden/>
              </w:rPr>
              <w:fldChar w:fldCharType="end"/>
            </w:r>
          </w:hyperlink>
        </w:p>
        <w:p w14:paraId="5080E886" w14:textId="31BC8CE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0" w:history="1">
            <w:r w:rsidR="00350D41" w:rsidRPr="007A7ECB">
              <w:rPr>
                <w:rStyle w:val="Hyperlink"/>
                <w:noProof/>
              </w:rPr>
              <w:t>Data</w:t>
            </w:r>
            <w:r w:rsidR="00350D41">
              <w:rPr>
                <w:noProof/>
                <w:webHidden/>
              </w:rPr>
              <w:tab/>
            </w:r>
            <w:r w:rsidR="00350D41">
              <w:rPr>
                <w:noProof/>
                <w:webHidden/>
              </w:rPr>
              <w:fldChar w:fldCharType="begin"/>
            </w:r>
            <w:r w:rsidR="00350D41">
              <w:rPr>
                <w:noProof/>
                <w:webHidden/>
              </w:rPr>
              <w:instrText xml:space="preserve"> PAGEREF _Toc175577670 \h </w:instrText>
            </w:r>
            <w:r w:rsidR="00350D41">
              <w:rPr>
                <w:noProof/>
                <w:webHidden/>
              </w:rPr>
            </w:r>
            <w:r w:rsidR="00350D41">
              <w:rPr>
                <w:noProof/>
                <w:webHidden/>
              </w:rPr>
              <w:fldChar w:fldCharType="separate"/>
            </w:r>
            <w:r w:rsidR="00350D41">
              <w:rPr>
                <w:noProof/>
                <w:webHidden/>
              </w:rPr>
              <w:t>7</w:t>
            </w:r>
            <w:r w:rsidR="00350D41">
              <w:rPr>
                <w:noProof/>
                <w:webHidden/>
              </w:rPr>
              <w:fldChar w:fldCharType="end"/>
            </w:r>
          </w:hyperlink>
        </w:p>
        <w:p w14:paraId="7C6549EC" w14:textId="5E7B1B75"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1" w:history="1">
            <w:r w:rsidR="00350D41" w:rsidRPr="007A7ECB">
              <w:rPr>
                <w:rStyle w:val="Hyperlink"/>
                <w:noProof/>
              </w:rPr>
              <w:t>Data collection and analysis</w:t>
            </w:r>
            <w:r w:rsidR="00350D41">
              <w:rPr>
                <w:noProof/>
                <w:webHidden/>
              </w:rPr>
              <w:tab/>
            </w:r>
            <w:r w:rsidR="00350D41">
              <w:rPr>
                <w:noProof/>
                <w:webHidden/>
              </w:rPr>
              <w:fldChar w:fldCharType="begin"/>
            </w:r>
            <w:r w:rsidR="00350D41">
              <w:rPr>
                <w:noProof/>
                <w:webHidden/>
              </w:rPr>
              <w:instrText xml:space="preserve"> PAGEREF _Toc175577671 \h </w:instrText>
            </w:r>
            <w:r w:rsidR="00350D41">
              <w:rPr>
                <w:noProof/>
                <w:webHidden/>
              </w:rPr>
            </w:r>
            <w:r w:rsidR="00350D41">
              <w:rPr>
                <w:noProof/>
                <w:webHidden/>
              </w:rPr>
              <w:fldChar w:fldCharType="separate"/>
            </w:r>
            <w:r w:rsidR="00350D41">
              <w:rPr>
                <w:noProof/>
                <w:webHidden/>
              </w:rPr>
              <w:t>8</w:t>
            </w:r>
            <w:r w:rsidR="00350D41">
              <w:rPr>
                <w:noProof/>
                <w:webHidden/>
              </w:rPr>
              <w:fldChar w:fldCharType="end"/>
            </w:r>
          </w:hyperlink>
        </w:p>
        <w:p w14:paraId="54D1DC7E" w14:textId="02DA841A"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2" w:history="1">
            <w:r w:rsidR="00350D41" w:rsidRPr="007A7ECB">
              <w:rPr>
                <w:rStyle w:val="Hyperlink"/>
                <w:noProof/>
              </w:rPr>
              <w:t>Surveillance Atlas indicators</w:t>
            </w:r>
            <w:r w:rsidR="00350D41">
              <w:rPr>
                <w:noProof/>
                <w:webHidden/>
              </w:rPr>
              <w:tab/>
            </w:r>
            <w:r w:rsidR="00350D41">
              <w:rPr>
                <w:noProof/>
                <w:webHidden/>
              </w:rPr>
              <w:fldChar w:fldCharType="begin"/>
            </w:r>
            <w:r w:rsidR="00350D41">
              <w:rPr>
                <w:noProof/>
                <w:webHidden/>
              </w:rPr>
              <w:instrText xml:space="preserve"> PAGEREF _Toc175577672 \h </w:instrText>
            </w:r>
            <w:r w:rsidR="00350D41">
              <w:rPr>
                <w:noProof/>
                <w:webHidden/>
              </w:rPr>
            </w:r>
            <w:r w:rsidR="00350D41">
              <w:rPr>
                <w:noProof/>
                <w:webHidden/>
              </w:rPr>
              <w:fldChar w:fldCharType="separate"/>
            </w:r>
            <w:r w:rsidR="00350D41">
              <w:rPr>
                <w:noProof/>
                <w:webHidden/>
              </w:rPr>
              <w:t>8</w:t>
            </w:r>
            <w:r w:rsidR="00350D41">
              <w:rPr>
                <w:noProof/>
                <w:webHidden/>
              </w:rPr>
              <w:fldChar w:fldCharType="end"/>
            </w:r>
          </w:hyperlink>
        </w:p>
        <w:p w14:paraId="1204AE0F" w14:textId="35CEE5C1"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3" w:history="1">
            <w:r w:rsidR="00350D41" w:rsidRPr="007A7ECB">
              <w:rPr>
                <w:rStyle w:val="Hyperlink"/>
                <w:rFonts w:eastAsia="Arial Unicode MS"/>
                <w:noProof/>
                <w:kern w:val="22"/>
              </w:rPr>
              <w:t>Symbols used in the Surveillance Atlas table:</w:t>
            </w:r>
            <w:r w:rsidR="00350D41">
              <w:rPr>
                <w:noProof/>
                <w:webHidden/>
              </w:rPr>
              <w:tab/>
            </w:r>
            <w:r w:rsidR="00350D41">
              <w:rPr>
                <w:noProof/>
                <w:webHidden/>
              </w:rPr>
              <w:fldChar w:fldCharType="begin"/>
            </w:r>
            <w:r w:rsidR="00350D41">
              <w:rPr>
                <w:noProof/>
                <w:webHidden/>
              </w:rPr>
              <w:instrText xml:space="preserve"> PAGEREF _Toc175577673 \h </w:instrText>
            </w:r>
            <w:r w:rsidR="00350D41">
              <w:rPr>
                <w:noProof/>
                <w:webHidden/>
              </w:rPr>
            </w:r>
            <w:r w:rsidR="00350D41">
              <w:rPr>
                <w:noProof/>
                <w:webHidden/>
              </w:rPr>
              <w:fldChar w:fldCharType="separate"/>
            </w:r>
            <w:r w:rsidR="00350D41">
              <w:rPr>
                <w:noProof/>
                <w:webHidden/>
              </w:rPr>
              <w:t>8</w:t>
            </w:r>
            <w:r w:rsidR="00350D41">
              <w:rPr>
                <w:noProof/>
                <w:webHidden/>
              </w:rPr>
              <w:fldChar w:fldCharType="end"/>
            </w:r>
          </w:hyperlink>
        </w:p>
        <w:p w14:paraId="58963895" w14:textId="6F01B96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4" w:history="1">
            <w:r w:rsidR="00350D41" w:rsidRPr="007A7ECB">
              <w:rPr>
                <w:rStyle w:val="Hyperlink"/>
                <w:noProof/>
              </w:rPr>
              <w:t>Data quality</w:t>
            </w:r>
            <w:r w:rsidR="00350D41">
              <w:rPr>
                <w:noProof/>
                <w:webHidden/>
              </w:rPr>
              <w:tab/>
            </w:r>
            <w:r w:rsidR="00350D41">
              <w:rPr>
                <w:noProof/>
                <w:webHidden/>
              </w:rPr>
              <w:fldChar w:fldCharType="begin"/>
            </w:r>
            <w:r w:rsidR="00350D41">
              <w:rPr>
                <w:noProof/>
                <w:webHidden/>
              </w:rPr>
              <w:instrText xml:space="preserve"> PAGEREF _Toc175577674 \h </w:instrText>
            </w:r>
            <w:r w:rsidR="00350D41">
              <w:rPr>
                <w:noProof/>
                <w:webHidden/>
              </w:rPr>
            </w:r>
            <w:r w:rsidR="00350D41">
              <w:rPr>
                <w:noProof/>
                <w:webHidden/>
              </w:rPr>
              <w:fldChar w:fldCharType="separate"/>
            </w:r>
            <w:r w:rsidR="00350D41">
              <w:rPr>
                <w:noProof/>
                <w:webHidden/>
              </w:rPr>
              <w:t>8</w:t>
            </w:r>
            <w:r w:rsidR="00350D41">
              <w:rPr>
                <w:noProof/>
                <w:webHidden/>
              </w:rPr>
              <w:fldChar w:fldCharType="end"/>
            </w:r>
          </w:hyperlink>
        </w:p>
        <w:p w14:paraId="1605A2BE" w14:textId="20A6A24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5" w:history="1">
            <w:r w:rsidR="00350D41" w:rsidRPr="007A7ECB">
              <w:rPr>
                <w:rStyle w:val="Hyperlink"/>
                <w:noProof/>
              </w:rPr>
              <w:t>Interpretation</w:t>
            </w:r>
            <w:r w:rsidR="00350D41">
              <w:rPr>
                <w:noProof/>
                <w:webHidden/>
              </w:rPr>
              <w:tab/>
            </w:r>
            <w:r w:rsidR="00350D41">
              <w:rPr>
                <w:noProof/>
                <w:webHidden/>
              </w:rPr>
              <w:fldChar w:fldCharType="begin"/>
            </w:r>
            <w:r w:rsidR="00350D41">
              <w:rPr>
                <w:noProof/>
                <w:webHidden/>
              </w:rPr>
              <w:instrText xml:space="preserve"> PAGEREF _Toc175577675 \h </w:instrText>
            </w:r>
            <w:r w:rsidR="00350D41">
              <w:rPr>
                <w:noProof/>
                <w:webHidden/>
              </w:rPr>
            </w:r>
            <w:r w:rsidR="00350D41">
              <w:rPr>
                <w:noProof/>
                <w:webHidden/>
              </w:rPr>
              <w:fldChar w:fldCharType="separate"/>
            </w:r>
            <w:r w:rsidR="00350D41">
              <w:rPr>
                <w:noProof/>
                <w:webHidden/>
              </w:rPr>
              <w:t>9</w:t>
            </w:r>
            <w:r w:rsidR="00350D41">
              <w:rPr>
                <w:noProof/>
                <w:webHidden/>
              </w:rPr>
              <w:fldChar w:fldCharType="end"/>
            </w:r>
          </w:hyperlink>
        </w:p>
        <w:p w14:paraId="71411B1A" w14:textId="66352112"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6" w:history="1">
            <w:r w:rsidR="00350D41" w:rsidRPr="007A7ECB">
              <w:rPr>
                <w:rStyle w:val="Hyperlink"/>
                <w:noProof/>
              </w:rPr>
              <w:t>Reports published by ECDC on gonorrhoea</w:t>
            </w:r>
            <w:r w:rsidR="00350D41">
              <w:rPr>
                <w:noProof/>
                <w:webHidden/>
              </w:rPr>
              <w:tab/>
            </w:r>
            <w:r w:rsidR="00350D41">
              <w:rPr>
                <w:noProof/>
                <w:webHidden/>
              </w:rPr>
              <w:fldChar w:fldCharType="begin"/>
            </w:r>
            <w:r w:rsidR="00350D41">
              <w:rPr>
                <w:noProof/>
                <w:webHidden/>
              </w:rPr>
              <w:instrText xml:space="preserve"> PAGEREF _Toc175577676 \h </w:instrText>
            </w:r>
            <w:r w:rsidR="00350D41">
              <w:rPr>
                <w:noProof/>
                <w:webHidden/>
              </w:rPr>
            </w:r>
            <w:r w:rsidR="00350D41">
              <w:rPr>
                <w:noProof/>
                <w:webHidden/>
              </w:rPr>
              <w:fldChar w:fldCharType="separate"/>
            </w:r>
            <w:r w:rsidR="00350D41">
              <w:rPr>
                <w:noProof/>
                <w:webHidden/>
              </w:rPr>
              <w:t>9</w:t>
            </w:r>
            <w:r w:rsidR="00350D41">
              <w:rPr>
                <w:noProof/>
                <w:webHidden/>
              </w:rPr>
              <w:fldChar w:fldCharType="end"/>
            </w:r>
          </w:hyperlink>
        </w:p>
        <w:p w14:paraId="69B9AA9B" w14:textId="335FEFBA"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7" w:history="1">
            <w:r w:rsidR="00350D41" w:rsidRPr="007A7ECB">
              <w:rPr>
                <w:rStyle w:val="Hyperlink"/>
                <w:noProof/>
              </w:rPr>
              <w:t>Surveillance systems overview, gonorrhoea, 2023</w:t>
            </w:r>
            <w:r w:rsidR="00350D41">
              <w:rPr>
                <w:noProof/>
                <w:webHidden/>
              </w:rPr>
              <w:tab/>
            </w:r>
            <w:r w:rsidR="00350D41">
              <w:rPr>
                <w:noProof/>
                <w:webHidden/>
              </w:rPr>
              <w:fldChar w:fldCharType="begin"/>
            </w:r>
            <w:r w:rsidR="00350D41">
              <w:rPr>
                <w:noProof/>
                <w:webHidden/>
              </w:rPr>
              <w:instrText xml:space="preserve"> PAGEREF _Toc175577677 \h </w:instrText>
            </w:r>
            <w:r w:rsidR="00350D41">
              <w:rPr>
                <w:noProof/>
                <w:webHidden/>
              </w:rPr>
            </w:r>
            <w:r w:rsidR="00350D41">
              <w:rPr>
                <w:noProof/>
                <w:webHidden/>
              </w:rPr>
              <w:fldChar w:fldCharType="separate"/>
            </w:r>
            <w:r w:rsidR="00350D41">
              <w:rPr>
                <w:noProof/>
                <w:webHidden/>
              </w:rPr>
              <w:t>10</w:t>
            </w:r>
            <w:r w:rsidR="00350D41">
              <w:rPr>
                <w:noProof/>
                <w:webHidden/>
              </w:rPr>
              <w:fldChar w:fldCharType="end"/>
            </w:r>
          </w:hyperlink>
        </w:p>
        <w:p w14:paraId="12D2E762" w14:textId="43B2F6B6"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678" w:history="1">
            <w:r w:rsidR="00350D41" w:rsidRPr="007A7ECB">
              <w:rPr>
                <w:rStyle w:val="Hyperlink"/>
              </w:rPr>
              <w:t xml:space="preserve">Antimicrobial-resistant </w:t>
            </w:r>
            <w:r w:rsidR="00350D41" w:rsidRPr="007A7ECB">
              <w:rPr>
                <w:rStyle w:val="Hyperlink"/>
                <w:i/>
              </w:rPr>
              <w:t>Neisseria gonorrhoeae</w:t>
            </w:r>
            <w:r w:rsidR="00350D41">
              <w:rPr>
                <w:webHidden/>
              </w:rPr>
              <w:tab/>
            </w:r>
            <w:r w:rsidR="00350D41">
              <w:rPr>
                <w:webHidden/>
              </w:rPr>
              <w:fldChar w:fldCharType="begin"/>
            </w:r>
            <w:r w:rsidR="00350D41">
              <w:rPr>
                <w:webHidden/>
              </w:rPr>
              <w:instrText xml:space="preserve"> PAGEREF _Toc175577678 \h </w:instrText>
            </w:r>
            <w:r w:rsidR="00350D41">
              <w:rPr>
                <w:webHidden/>
              </w:rPr>
            </w:r>
            <w:r w:rsidR="00350D41">
              <w:rPr>
                <w:webHidden/>
              </w:rPr>
              <w:fldChar w:fldCharType="separate"/>
            </w:r>
            <w:r w:rsidR="00350D41">
              <w:rPr>
                <w:webHidden/>
              </w:rPr>
              <w:t>11</w:t>
            </w:r>
            <w:r w:rsidR="00350D41">
              <w:rPr>
                <w:webHidden/>
              </w:rPr>
              <w:fldChar w:fldCharType="end"/>
            </w:r>
          </w:hyperlink>
        </w:p>
        <w:p w14:paraId="400363BB" w14:textId="3C0B1473"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79" w:history="1">
            <w:r w:rsidR="00350D41" w:rsidRPr="007A7ECB">
              <w:rPr>
                <w:rStyle w:val="Hyperlink"/>
                <w:noProof/>
              </w:rPr>
              <w:t>Data source</w:t>
            </w:r>
            <w:r w:rsidR="00350D41">
              <w:rPr>
                <w:noProof/>
                <w:webHidden/>
              </w:rPr>
              <w:tab/>
            </w:r>
            <w:r w:rsidR="00350D41">
              <w:rPr>
                <w:noProof/>
                <w:webHidden/>
              </w:rPr>
              <w:fldChar w:fldCharType="begin"/>
            </w:r>
            <w:r w:rsidR="00350D41">
              <w:rPr>
                <w:noProof/>
                <w:webHidden/>
              </w:rPr>
              <w:instrText xml:space="preserve"> PAGEREF _Toc175577679 \h </w:instrText>
            </w:r>
            <w:r w:rsidR="00350D41">
              <w:rPr>
                <w:noProof/>
                <w:webHidden/>
              </w:rPr>
            </w:r>
            <w:r w:rsidR="00350D41">
              <w:rPr>
                <w:noProof/>
                <w:webHidden/>
              </w:rPr>
              <w:fldChar w:fldCharType="separate"/>
            </w:r>
            <w:r w:rsidR="00350D41">
              <w:rPr>
                <w:noProof/>
                <w:webHidden/>
              </w:rPr>
              <w:t>11</w:t>
            </w:r>
            <w:r w:rsidR="00350D41">
              <w:rPr>
                <w:noProof/>
                <w:webHidden/>
              </w:rPr>
              <w:fldChar w:fldCharType="end"/>
            </w:r>
          </w:hyperlink>
        </w:p>
        <w:p w14:paraId="5D15E190" w14:textId="5B5AC8F8"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0" w:history="1">
            <w:r w:rsidR="00350D41" w:rsidRPr="007A7ECB">
              <w:rPr>
                <w:rStyle w:val="Hyperlink"/>
                <w:noProof/>
              </w:rPr>
              <w:t>Surveillance Atlas indicators</w:t>
            </w:r>
            <w:r w:rsidR="00350D41">
              <w:rPr>
                <w:noProof/>
                <w:webHidden/>
              </w:rPr>
              <w:tab/>
            </w:r>
            <w:r w:rsidR="00350D41">
              <w:rPr>
                <w:noProof/>
                <w:webHidden/>
              </w:rPr>
              <w:fldChar w:fldCharType="begin"/>
            </w:r>
            <w:r w:rsidR="00350D41">
              <w:rPr>
                <w:noProof/>
                <w:webHidden/>
              </w:rPr>
              <w:instrText xml:space="preserve"> PAGEREF _Toc175577680 \h </w:instrText>
            </w:r>
            <w:r w:rsidR="00350D41">
              <w:rPr>
                <w:noProof/>
                <w:webHidden/>
              </w:rPr>
            </w:r>
            <w:r w:rsidR="00350D41">
              <w:rPr>
                <w:noProof/>
                <w:webHidden/>
              </w:rPr>
              <w:fldChar w:fldCharType="separate"/>
            </w:r>
            <w:r w:rsidR="00350D41">
              <w:rPr>
                <w:noProof/>
                <w:webHidden/>
              </w:rPr>
              <w:t>11</w:t>
            </w:r>
            <w:r w:rsidR="00350D41">
              <w:rPr>
                <w:noProof/>
                <w:webHidden/>
              </w:rPr>
              <w:fldChar w:fldCharType="end"/>
            </w:r>
          </w:hyperlink>
        </w:p>
        <w:p w14:paraId="2B7B28FB" w14:textId="10768EBB"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1" w:history="1">
            <w:r w:rsidR="00350D41" w:rsidRPr="007A7ECB">
              <w:rPr>
                <w:rStyle w:val="Hyperlink"/>
                <w:noProof/>
              </w:rPr>
              <w:t>Interpretation</w:t>
            </w:r>
            <w:r w:rsidR="00350D41">
              <w:rPr>
                <w:noProof/>
                <w:webHidden/>
              </w:rPr>
              <w:tab/>
            </w:r>
            <w:r w:rsidR="00350D41">
              <w:rPr>
                <w:noProof/>
                <w:webHidden/>
              </w:rPr>
              <w:fldChar w:fldCharType="begin"/>
            </w:r>
            <w:r w:rsidR="00350D41">
              <w:rPr>
                <w:noProof/>
                <w:webHidden/>
              </w:rPr>
              <w:instrText xml:space="preserve"> PAGEREF _Toc175577681 \h </w:instrText>
            </w:r>
            <w:r w:rsidR="00350D41">
              <w:rPr>
                <w:noProof/>
                <w:webHidden/>
              </w:rPr>
            </w:r>
            <w:r w:rsidR="00350D41">
              <w:rPr>
                <w:noProof/>
                <w:webHidden/>
              </w:rPr>
              <w:fldChar w:fldCharType="separate"/>
            </w:r>
            <w:r w:rsidR="00350D41">
              <w:rPr>
                <w:noProof/>
                <w:webHidden/>
              </w:rPr>
              <w:t>12</w:t>
            </w:r>
            <w:r w:rsidR="00350D41">
              <w:rPr>
                <w:noProof/>
                <w:webHidden/>
              </w:rPr>
              <w:fldChar w:fldCharType="end"/>
            </w:r>
          </w:hyperlink>
        </w:p>
        <w:p w14:paraId="2EDFEC97" w14:textId="28C3C736"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2" w:history="1">
            <w:r w:rsidR="00350D41" w:rsidRPr="007A7ECB">
              <w:rPr>
                <w:rStyle w:val="Hyperlink"/>
                <w:noProof/>
              </w:rPr>
              <w:t>Related reports published by ECDC</w:t>
            </w:r>
            <w:r w:rsidR="00350D41">
              <w:rPr>
                <w:noProof/>
                <w:webHidden/>
              </w:rPr>
              <w:tab/>
            </w:r>
            <w:r w:rsidR="00350D41">
              <w:rPr>
                <w:noProof/>
                <w:webHidden/>
              </w:rPr>
              <w:fldChar w:fldCharType="begin"/>
            </w:r>
            <w:r w:rsidR="00350D41">
              <w:rPr>
                <w:noProof/>
                <w:webHidden/>
              </w:rPr>
              <w:instrText xml:space="preserve"> PAGEREF _Toc175577682 \h </w:instrText>
            </w:r>
            <w:r w:rsidR="00350D41">
              <w:rPr>
                <w:noProof/>
                <w:webHidden/>
              </w:rPr>
            </w:r>
            <w:r w:rsidR="00350D41">
              <w:rPr>
                <w:noProof/>
                <w:webHidden/>
              </w:rPr>
              <w:fldChar w:fldCharType="separate"/>
            </w:r>
            <w:r w:rsidR="00350D41">
              <w:rPr>
                <w:noProof/>
                <w:webHidden/>
              </w:rPr>
              <w:t>12</w:t>
            </w:r>
            <w:r w:rsidR="00350D41">
              <w:rPr>
                <w:noProof/>
                <w:webHidden/>
              </w:rPr>
              <w:fldChar w:fldCharType="end"/>
            </w:r>
          </w:hyperlink>
        </w:p>
        <w:p w14:paraId="5F843AAA" w14:textId="259F2013"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683" w:history="1">
            <w:r w:rsidR="00350D41" w:rsidRPr="007A7ECB">
              <w:rPr>
                <w:rStyle w:val="Hyperlink"/>
              </w:rPr>
              <w:t>Syphilis</w:t>
            </w:r>
            <w:r w:rsidR="00350D41">
              <w:rPr>
                <w:webHidden/>
              </w:rPr>
              <w:tab/>
            </w:r>
            <w:r w:rsidR="00350D41">
              <w:rPr>
                <w:webHidden/>
              </w:rPr>
              <w:fldChar w:fldCharType="begin"/>
            </w:r>
            <w:r w:rsidR="00350D41">
              <w:rPr>
                <w:webHidden/>
              </w:rPr>
              <w:instrText xml:space="preserve"> PAGEREF _Toc175577683 \h </w:instrText>
            </w:r>
            <w:r w:rsidR="00350D41">
              <w:rPr>
                <w:webHidden/>
              </w:rPr>
            </w:r>
            <w:r w:rsidR="00350D41">
              <w:rPr>
                <w:webHidden/>
              </w:rPr>
              <w:fldChar w:fldCharType="separate"/>
            </w:r>
            <w:r w:rsidR="00350D41">
              <w:rPr>
                <w:webHidden/>
              </w:rPr>
              <w:t>13</w:t>
            </w:r>
            <w:r w:rsidR="00350D41">
              <w:rPr>
                <w:webHidden/>
              </w:rPr>
              <w:fldChar w:fldCharType="end"/>
            </w:r>
          </w:hyperlink>
        </w:p>
        <w:p w14:paraId="6ECB757B" w14:textId="72013F98"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4" w:history="1">
            <w:r w:rsidR="00350D41" w:rsidRPr="007A7ECB">
              <w:rPr>
                <w:rStyle w:val="Hyperlink"/>
                <w:noProof/>
              </w:rPr>
              <w:t>Data</w:t>
            </w:r>
            <w:r w:rsidR="00350D41">
              <w:rPr>
                <w:noProof/>
                <w:webHidden/>
              </w:rPr>
              <w:tab/>
            </w:r>
            <w:r w:rsidR="00350D41">
              <w:rPr>
                <w:noProof/>
                <w:webHidden/>
              </w:rPr>
              <w:fldChar w:fldCharType="begin"/>
            </w:r>
            <w:r w:rsidR="00350D41">
              <w:rPr>
                <w:noProof/>
                <w:webHidden/>
              </w:rPr>
              <w:instrText xml:space="preserve"> PAGEREF _Toc175577684 \h </w:instrText>
            </w:r>
            <w:r w:rsidR="00350D41">
              <w:rPr>
                <w:noProof/>
                <w:webHidden/>
              </w:rPr>
            </w:r>
            <w:r w:rsidR="00350D41">
              <w:rPr>
                <w:noProof/>
                <w:webHidden/>
              </w:rPr>
              <w:fldChar w:fldCharType="separate"/>
            </w:r>
            <w:r w:rsidR="00350D41">
              <w:rPr>
                <w:noProof/>
                <w:webHidden/>
              </w:rPr>
              <w:t>13</w:t>
            </w:r>
            <w:r w:rsidR="00350D41">
              <w:rPr>
                <w:noProof/>
                <w:webHidden/>
              </w:rPr>
              <w:fldChar w:fldCharType="end"/>
            </w:r>
          </w:hyperlink>
        </w:p>
        <w:p w14:paraId="0E66D4D7" w14:textId="4048EE3B"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5" w:history="1">
            <w:r w:rsidR="00350D41" w:rsidRPr="007A7ECB">
              <w:rPr>
                <w:rStyle w:val="Hyperlink"/>
                <w:noProof/>
              </w:rPr>
              <w:t>Data collection and analysis</w:t>
            </w:r>
            <w:r w:rsidR="00350D41">
              <w:rPr>
                <w:noProof/>
                <w:webHidden/>
              </w:rPr>
              <w:tab/>
            </w:r>
            <w:r w:rsidR="00350D41">
              <w:rPr>
                <w:noProof/>
                <w:webHidden/>
              </w:rPr>
              <w:fldChar w:fldCharType="begin"/>
            </w:r>
            <w:r w:rsidR="00350D41">
              <w:rPr>
                <w:noProof/>
                <w:webHidden/>
              </w:rPr>
              <w:instrText xml:space="preserve"> PAGEREF _Toc175577685 \h </w:instrText>
            </w:r>
            <w:r w:rsidR="00350D41">
              <w:rPr>
                <w:noProof/>
                <w:webHidden/>
              </w:rPr>
            </w:r>
            <w:r w:rsidR="00350D41">
              <w:rPr>
                <w:noProof/>
                <w:webHidden/>
              </w:rPr>
              <w:fldChar w:fldCharType="separate"/>
            </w:r>
            <w:r w:rsidR="00350D41">
              <w:rPr>
                <w:noProof/>
                <w:webHidden/>
              </w:rPr>
              <w:t>14</w:t>
            </w:r>
            <w:r w:rsidR="00350D41">
              <w:rPr>
                <w:noProof/>
                <w:webHidden/>
              </w:rPr>
              <w:fldChar w:fldCharType="end"/>
            </w:r>
          </w:hyperlink>
        </w:p>
        <w:p w14:paraId="19FFF7FA" w14:textId="0712053D"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6" w:history="1">
            <w:r w:rsidR="00350D41" w:rsidRPr="007A7ECB">
              <w:rPr>
                <w:rStyle w:val="Hyperlink"/>
                <w:noProof/>
              </w:rPr>
              <w:t>Surveillance Atlas indicators</w:t>
            </w:r>
            <w:r w:rsidR="00350D41">
              <w:rPr>
                <w:noProof/>
                <w:webHidden/>
              </w:rPr>
              <w:tab/>
            </w:r>
            <w:r w:rsidR="00350D41">
              <w:rPr>
                <w:noProof/>
                <w:webHidden/>
              </w:rPr>
              <w:fldChar w:fldCharType="begin"/>
            </w:r>
            <w:r w:rsidR="00350D41">
              <w:rPr>
                <w:noProof/>
                <w:webHidden/>
              </w:rPr>
              <w:instrText xml:space="preserve"> PAGEREF _Toc175577686 \h </w:instrText>
            </w:r>
            <w:r w:rsidR="00350D41">
              <w:rPr>
                <w:noProof/>
                <w:webHidden/>
              </w:rPr>
            </w:r>
            <w:r w:rsidR="00350D41">
              <w:rPr>
                <w:noProof/>
                <w:webHidden/>
              </w:rPr>
              <w:fldChar w:fldCharType="separate"/>
            </w:r>
            <w:r w:rsidR="00350D41">
              <w:rPr>
                <w:noProof/>
                <w:webHidden/>
              </w:rPr>
              <w:t>14</w:t>
            </w:r>
            <w:r w:rsidR="00350D41">
              <w:rPr>
                <w:noProof/>
                <w:webHidden/>
              </w:rPr>
              <w:fldChar w:fldCharType="end"/>
            </w:r>
          </w:hyperlink>
        </w:p>
        <w:p w14:paraId="0BD8EA52" w14:textId="64C884D7"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7" w:history="1">
            <w:r w:rsidR="00350D41" w:rsidRPr="007A7ECB">
              <w:rPr>
                <w:rStyle w:val="Hyperlink"/>
                <w:rFonts w:eastAsia="Arial Unicode MS"/>
                <w:noProof/>
                <w:kern w:val="22"/>
              </w:rPr>
              <w:t>Symbols used in the Surveillance Atlas table:</w:t>
            </w:r>
            <w:r w:rsidR="00350D41">
              <w:rPr>
                <w:noProof/>
                <w:webHidden/>
              </w:rPr>
              <w:tab/>
            </w:r>
            <w:r w:rsidR="00350D41">
              <w:rPr>
                <w:noProof/>
                <w:webHidden/>
              </w:rPr>
              <w:fldChar w:fldCharType="begin"/>
            </w:r>
            <w:r w:rsidR="00350D41">
              <w:rPr>
                <w:noProof/>
                <w:webHidden/>
              </w:rPr>
              <w:instrText xml:space="preserve"> PAGEREF _Toc175577687 \h </w:instrText>
            </w:r>
            <w:r w:rsidR="00350D41">
              <w:rPr>
                <w:noProof/>
                <w:webHidden/>
              </w:rPr>
            </w:r>
            <w:r w:rsidR="00350D41">
              <w:rPr>
                <w:noProof/>
                <w:webHidden/>
              </w:rPr>
              <w:fldChar w:fldCharType="separate"/>
            </w:r>
            <w:r w:rsidR="00350D41">
              <w:rPr>
                <w:noProof/>
                <w:webHidden/>
              </w:rPr>
              <w:t>14</w:t>
            </w:r>
            <w:r w:rsidR="00350D41">
              <w:rPr>
                <w:noProof/>
                <w:webHidden/>
              </w:rPr>
              <w:fldChar w:fldCharType="end"/>
            </w:r>
          </w:hyperlink>
        </w:p>
        <w:p w14:paraId="1BA1FD9E" w14:textId="0415E1ED"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8" w:history="1">
            <w:r w:rsidR="00350D41" w:rsidRPr="007A7ECB">
              <w:rPr>
                <w:rStyle w:val="Hyperlink"/>
                <w:noProof/>
              </w:rPr>
              <w:t>Data quality</w:t>
            </w:r>
            <w:r w:rsidR="00350D41">
              <w:rPr>
                <w:noProof/>
                <w:webHidden/>
              </w:rPr>
              <w:tab/>
            </w:r>
            <w:r w:rsidR="00350D41">
              <w:rPr>
                <w:noProof/>
                <w:webHidden/>
              </w:rPr>
              <w:fldChar w:fldCharType="begin"/>
            </w:r>
            <w:r w:rsidR="00350D41">
              <w:rPr>
                <w:noProof/>
                <w:webHidden/>
              </w:rPr>
              <w:instrText xml:space="preserve"> PAGEREF _Toc175577688 \h </w:instrText>
            </w:r>
            <w:r w:rsidR="00350D41">
              <w:rPr>
                <w:noProof/>
                <w:webHidden/>
              </w:rPr>
            </w:r>
            <w:r w:rsidR="00350D41">
              <w:rPr>
                <w:noProof/>
                <w:webHidden/>
              </w:rPr>
              <w:fldChar w:fldCharType="separate"/>
            </w:r>
            <w:r w:rsidR="00350D41">
              <w:rPr>
                <w:noProof/>
                <w:webHidden/>
              </w:rPr>
              <w:t>14</w:t>
            </w:r>
            <w:r w:rsidR="00350D41">
              <w:rPr>
                <w:noProof/>
                <w:webHidden/>
              </w:rPr>
              <w:fldChar w:fldCharType="end"/>
            </w:r>
          </w:hyperlink>
        </w:p>
        <w:p w14:paraId="308B6839" w14:textId="10EFCD4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89" w:history="1">
            <w:r w:rsidR="00350D41" w:rsidRPr="007A7ECB">
              <w:rPr>
                <w:rStyle w:val="Hyperlink"/>
                <w:noProof/>
              </w:rPr>
              <w:t>Interpretation</w:t>
            </w:r>
            <w:r w:rsidR="00350D41">
              <w:rPr>
                <w:noProof/>
                <w:webHidden/>
              </w:rPr>
              <w:tab/>
            </w:r>
            <w:r w:rsidR="00350D41">
              <w:rPr>
                <w:noProof/>
                <w:webHidden/>
              </w:rPr>
              <w:fldChar w:fldCharType="begin"/>
            </w:r>
            <w:r w:rsidR="00350D41">
              <w:rPr>
                <w:noProof/>
                <w:webHidden/>
              </w:rPr>
              <w:instrText xml:space="preserve"> PAGEREF _Toc175577689 \h </w:instrText>
            </w:r>
            <w:r w:rsidR="00350D41">
              <w:rPr>
                <w:noProof/>
                <w:webHidden/>
              </w:rPr>
            </w:r>
            <w:r w:rsidR="00350D41">
              <w:rPr>
                <w:noProof/>
                <w:webHidden/>
              </w:rPr>
              <w:fldChar w:fldCharType="separate"/>
            </w:r>
            <w:r w:rsidR="00350D41">
              <w:rPr>
                <w:noProof/>
                <w:webHidden/>
              </w:rPr>
              <w:t>15</w:t>
            </w:r>
            <w:r w:rsidR="00350D41">
              <w:rPr>
                <w:noProof/>
                <w:webHidden/>
              </w:rPr>
              <w:fldChar w:fldCharType="end"/>
            </w:r>
          </w:hyperlink>
        </w:p>
        <w:p w14:paraId="6F2A13AB" w14:textId="5DC628F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0" w:history="1">
            <w:r w:rsidR="00350D41" w:rsidRPr="007A7ECB">
              <w:rPr>
                <w:rStyle w:val="Hyperlink"/>
                <w:noProof/>
              </w:rPr>
              <w:t>Reports published by ECDC on syphilis</w:t>
            </w:r>
            <w:r w:rsidR="00350D41">
              <w:rPr>
                <w:noProof/>
                <w:webHidden/>
              </w:rPr>
              <w:tab/>
            </w:r>
            <w:r w:rsidR="00350D41">
              <w:rPr>
                <w:noProof/>
                <w:webHidden/>
              </w:rPr>
              <w:fldChar w:fldCharType="begin"/>
            </w:r>
            <w:r w:rsidR="00350D41">
              <w:rPr>
                <w:noProof/>
                <w:webHidden/>
              </w:rPr>
              <w:instrText xml:space="preserve"> PAGEREF _Toc175577690 \h </w:instrText>
            </w:r>
            <w:r w:rsidR="00350D41">
              <w:rPr>
                <w:noProof/>
                <w:webHidden/>
              </w:rPr>
            </w:r>
            <w:r w:rsidR="00350D41">
              <w:rPr>
                <w:noProof/>
                <w:webHidden/>
              </w:rPr>
              <w:fldChar w:fldCharType="separate"/>
            </w:r>
            <w:r w:rsidR="00350D41">
              <w:rPr>
                <w:noProof/>
                <w:webHidden/>
              </w:rPr>
              <w:t>15</w:t>
            </w:r>
            <w:r w:rsidR="00350D41">
              <w:rPr>
                <w:noProof/>
                <w:webHidden/>
              </w:rPr>
              <w:fldChar w:fldCharType="end"/>
            </w:r>
          </w:hyperlink>
        </w:p>
        <w:p w14:paraId="3C417378" w14:textId="270BE1E1"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1" w:history="1">
            <w:r w:rsidR="00350D41" w:rsidRPr="007A7ECB">
              <w:rPr>
                <w:rStyle w:val="Hyperlink"/>
                <w:noProof/>
              </w:rPr>
              <w:t>Surveillance systems overview, syphilis, 2023</w:t>
            </w:r>
            <w:r w:rsidR="00350D41">
              <w:rPr>
                <w:noProof/>
                <w:webHidden/>
              </w:rPr>
              <w:tab/>
            </w:r>
            <w:r w:rsidR="00350D41">
              <w:rPr>
                <w:noProof/>
                <w:webHidden/>
              </w:rPr>
              <w:fldChar w:fldCharType="begin"/>
            </w:r>
            <w:r w:rsidR="00350D41">
              <w:rPr>
                <w:noProof/>
                <w:webHidden/>
              </w:rPr>
              <w:instrText xml:space="preserve"> PAGEREF _Toc175577691 \h </w:instrText>
            </w:r>
            <w:r w:rsidR="00350D41">
              <w:rPr>
                <w:noProof/>
                <w:webHidden/>
              </w:rPr>
            </w:r>
            <w:r w:rsidR="00350D41">
              <w:rPr>
                <w:noProof/>
                <w:webHidden/>
              </w:rPr>
              <w:fldChar w:fldCharType="separate"/>
            </w:r>
            <w:r w:rsidR="00350D41">
              <w:rPr>
                <w:noProof/>
                <w:webHidden/>
              </w:rPr>
              <w:t>16</w:t>
            </w:r>
            <w:r w:rsidR="00350D41">
              <w:rPr>
                <w:noProof/>
                <w:webHidden/>
              </w:rPr>
              <w:fldChar w:fldCharType="end"/>
            </w:r>
          </w:hyperlink>
        </w:p>
        <w:p w14:paraId="35F78F3F" w14:textId="1EBCC6A9"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692" w:history="1">
            <w:r w:rsidR="00350D41" w:rsidRPr="007A7ECB">
              <w:rPr>
                <w:rStyle w:val="Hyperlink"/>
              </w:rPr>
              <w:t>Lymphogranuloma venereum</w:t>
            </w:r>
            <w:r w:rsidR="00350D41">
              <w:rPr>
                <w:webHidden/>
              </w:rPr>
              <w:tab/>
            </w:r>
            <w:r w:rsidR="00350D41">
              <w:rPr>
                <w:webHidden/>
              </w:rPr>
              <w:fldChar w:fldCharType="begin"/>
            </w:r>
            <w:r w:rsidR="00350D41">
              <w:rPr>
                <w:webHidden/>
              </w:rPr>
              <w:instrText xml:space="preserve"> PAGEREF _Toc175577692 \h </w:instrText>
            </w:r>
            <w:r w:rsidR="00350D41">
              <w:rPr>
                <w:webHidden/>
              </w:rPr>
            </w:r>
            <w:r w:rsidR="00350D41">
              <w:rPr>
                <w:webHidden/>
              </w:rPr>
              <w:fldChar w:fldCharType="separate"/>
            </w:r>
            <w:r w:rsidR="00350D41">
              <w:rPr>
                <w:webHidden/>
              </w:rPr>
              <w:t>17</w:t>
            </w:r>
            <w:r w:rsidR="00350D41">
              <w:rPr>
                <w:webHidden/>
              </w:rPr>
              <w:fldChar w:fldCharType="end"/>
            </w:r>
          </w:hyperlink>
        </w:p>
        <w:p w14:paraId="753F36C1" w14:textId="3C57C7E4"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3" w:history="1">
            <w:r w:rsidR="00350D41" w:rsidRPr="007A7ECB">
              <w:rPr>
                <w:rStyle w:val="Hyperlink"/>
                <w:noProof/>
              </w:rPr>
              <w:t>Data</w:t>
            </w:r>
            <w:r w:rsidR="00350D41">
              <w:rPr>
                <w:noProof/>
                <w:webHidden/>
              </w:rPr>
              <w:tab/>
            </w:r>
            <w:r w:rsidR="00350D41">
              <w:rPr>
                <w:noProof/>
                <w:webHidden/>
              </w:rPr>
              <w:fldChar w:fldCharType="begin"/>
            </w:r>
            <w:r w:rsidR="00350D41">
              <w:rPr>
                <w:noProof/>
                <w:webHidden/>
              </w:rPr>
              <w:instrText xml:space="preserve"> PAGEREF _Toc175577693 \h </w:instrText>
            </w:r>
            <w:r w:rsidR="00350D41">
              <w:rPr>
                <w:noProof/>
                <w:webHidden/>
              </w:rPr>
            </w:r>
            <w:r w:rsidR="00350D41">
              <w:rPr>
                <w:noProof/>
                <w:webHidden/>
              </w:rPr>
              <w:fldChar w:fldCharType="separate"/>
            </w:r>
            <w:r w:rsidR="00350D41">
              <w:rPr>
                <w:noProof/>
                <w:webHidden/>
              </w:rPr>
              <w:t>17</w:t>
            </w:r>
            <w:r w:rsidR="00350D41">
              <w:rPr>
                <w:noProof/>
                <w:webHidden/>
              </w:rPr>
              <w:fldChar w:fldCharType="end"/>
            </w:r>
          </w:hyperlink>
        </w:p>
        <w:p w14:paraId="15248646" w14:textId="6FA51CB0"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4" w:history="1">
            <w:r w:rsidR="00350D41" w:rsidRPr="007A7ECB">
              <w:rPr>
                <w:rStyle w:val="Hyperlink"/>
                <w:noProof/>
              </w:rPr>
              <w:t>Data collection and analysis</w:t>
            </w:r>
            <w:r w:rsidR="00350D41">
              <w:rPr>
                <w:noProof/>
                <w:webHidden/>
              </w:rPr>
              <w:tab/>
            </w:r>
            <w:r w:rsidR="00350D41">
              <w:rPr>
                <w:noProof/>
                <w:webHidden/>
              </w:rPr>
              <w:fldChar w:fldCharType="begin"/>
            </w:r>
            <w:r w:rsidR="00350D41">
              <w:rPr>
                <w:noProof/>
                <w:webHidden/>
              </w:rPr>
              <w:instrText xml:space="preserve"> PAGEREF _Toc175577694 \h </w:instrText>
            </w:r>
            <w:r w:rsidR="00350D41">
              <w:rPr>
                <w:noProof/>
                <w:webHidden/>
              </w:rPr>
            </w:r>
            <w:r w:rsidR="00350D41">
              <w:rPr>
                <w:noProof/>
                <w:webHidden/>
              </w:rPr>
              <w:fldChar w:fldCharType="separate"/>
            </w:r>
            <w:r w:rsidR="00350D41">
              <w:rPr>
                <w:noProof/>
                <w:webHidden/>
              </w:rPr>
              <w:t>17</w:t>
            </w:r>
            <w:r w:rsidR="00350D41">
              <w:rPr>
                <w:noProof/>
                <w:webHidden/>
              </w:rPr>
              <w:fldChar w:fldCharType="end"/>
            </w:r>
          </w:hyperlink>
        </w:p>
        <w:p w14:paraId="353FDE28" w14:textId="7B236DE3"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5" w:history="1">
            <w:r w:rsidR="00350D41" w:rsidRPr="007A7ECB">
              <w:rPr>
                <w:rStyle w:val="Hyperlink"/>
                <w:noProof/>
              </w:rPr>
              <w:t>Surveillance Atlas indicators</w:t>
            </w:r>
            <w:r w:rsidR="00350D41">
              <w:rPr>
                <w:noProof/>
                <w:webHidden/>
              </w:rPr>
              <w:tab/>
            </w:r>
            <w:r w:rsidR="00350D41">
              <w:rPr>
                <w:noProof/>
                <w:webHidden/>
              </w:rPr>
              <w:fldChar w:fldCharType="begin"/>
            </w:r>
            <w:r w:rsidR="00350D41">
              <w:rPr>
                <w:noProof/>
                <w:webHidden/>
              </w:rPr>
              <w:instrText xml:space="preserve"> PAGEREF _Toc175577695 \h </w:instrText>
            </w:r>
            <w:r w:rsidR="00350D41">
              <w:rPr>
                <w:noProof/>
                <w:webHidden/>
              </w:rPr>
            </w:r>
            <w:r w:rsidR="00350D41">
              <w:rPr>
                <w:noProof/>
                <w:webHidden/>
              </w:rPr>
              <w:fldChar w:fldCharType="separate"/>
            </w:r>
            <w:r w:rsidR="00350D41">
              <w:rPr>
                <w:noProof/>
                <w:webHidden/>
              </w:rPr>
              <w:t>18</w:t>
            </w:r>
            <w:r w:rsidR="00350D41">
              <w:rPr>
                <w:noProof/>
                <w:webHidden/>
              </w:rPr>
              <w:fldChar w:fldCharType="end"/>
            </w:r>
          </w:hyperlink>
        </w:p>
        <w:p w14:paraId="6E3A7D3E" w14:textId="6D94D1C8"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6" w:history="1">
            <w:r w:rsidR="00350D41" w:rsidRPr="007A7ECB">
              <w:rPr>
                <w:rStyle w:val="Hyperlink"/>
                <w:rFonts w:eastAsia="Arial Unicode MS"/>
                <w:noProof/>
                <w:kern w:val="22"/>
              </w:rPr>
              <w:t>Symbols used in the Surveillance Atlas:</w:t>
            </w:r>
            <w:r w:rsidR="00350D41">
              <w:rPr>
                <w:noProof/>
                <w:webHidden/>
              </w:rPr>
              <w:tab/>
            </w:r>
            <w:r w:rsidR="00350D41">
              <w:rPr>
                <w:noProof/>
                <w:webHidden/>
              </w:rPr>
              <w:fldChar w:fldCharType="begin"/>
            </w:r>
            <w:r w:rsidR="00350D41">
              <w:rPr>
                <w:noProof/>
                <w:webHidden/>
              </w:rPr>
              <w:instrText xml:space="preserve"> PAGEREF _Toc175577696 \h </w:instrText>
            </w:r>
            <w:r w:rsidR="00350D41">
              <w:rPr>
                <w:noProof/>
                <w:webHidden/>
              </w:rPr>
            </w:r>
            <w:r w:rsidR="00350D41">
              <w:rPr>
                <w:noProof/>
                <w:webHidden/>
              </w:rPr>
              <w:fldChar w:fldCharType="separate"/>
            </w:r>
            <w:r w:rsidR="00350D41">
              <w:rPr>
                <w:noProof/>
                <w:webHidden/>
              </w:rPr>
              <w:t>18</w:t>
            </w:r>
            <w:r w:rsidR="00350D41">
              <w:rPr>
                <w:noProof/>
                <w:webHidden/>
              </w:rPr>
              <w:fldChar w:fldCharType="end"/>
            </w:r>
          </w:hyperlink>
        </w:p>
        <w:p w14:paraId="54E3B61F" w14:textId="1470035C"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7" w:history="1">
            <w:r w:rsidR="00350D41" w:rsidRPr="007A7ECB">
              <w:rPr>
                <w:rStyle w:val="Hyperlink"/>
                <w:noProof/>
              </w:rPr>
              <w:t>Data quality</w:t>
            </w:r>
            <w:r w:rsidR="00350D41">
              <w:rPr>
                <w:noProof/>
                <w:webHidden/>
              </w:rPr>
              <w:tab/>
            </w:r>
            <w:r w:rsidR="00350D41">
              <w:rPr>
                <w:noProof/>
                <w:webHidden/>
              </w:rPr>
              <w:fldChar w:fldCharType="begin"/>
            </w:r>
            <w:r w:rsidR="00350D41">
              <w:rPr>
                <w:noProof/>
                <w:webHidden/>
              </w:rPr>
              <w:instrText xml:space="preserve"> PAGEREF _Toc175577697 \h </w:instrText>
            </w:r>
            <w:r w:rsidR="00350D41">
              <w:rPr>
                <w:noProof/>
                <w:webHidden/>
              </w:rPr>
            </w:r>
            <w:r w:rsidR="00350D41">
              <w:rPr>
                <w:noProof/>
                <w:webHidden/>
              </w:rPr>
              <w:fldChar w:fldCharType="separate"/>
            </w:r>
            <w:r w:rsidR="00350D41">
              <w:rPr>
                <w:noProof/>
                <w:webHidden/>
              </w:rPr>
              <w:t>18</w:t>
            </w:r>
            <w:r w:rsidR="00350D41">
              <w:rPr>
                <w:noProof/>
                <w:webHidden/>
              </w:rPr>
              <w:fldChar w:fldCharType="end"/>
            </w:r>
          </w:hyperlink>
        </w:p>
        <w:p w14:paraId="3ECEB42E" w14:textId="296D9003"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8" w:history="1">
            <w:r w:rsidR="00350D41" w:rsidRPr="007A7ECB">
              <w:rPr>
                <w:rStyle w:val="Hyperlink"/>
                <w:noProof/>
              </w:rPr>
              <w:t>Interpretation</w:t>
            </w:r>
            <w:r w:rsidR="00350D41">
              <w:rPr>
                <w:noProof/>
                <w:webHidden/>
              </w:rPr>
              <w:tab/>
            </w:r>
            <w:r w:rsidR="00350D41">
              <w:rPr>
                <w:noProof/>
                <w:webHidden/>
              </w:rPr>
              <w:fldChar w:fldCharType="begin"/>
            </w:r>
            <w:r w:rsidR="00350D41">
              <w:rPr>
                <w:noProof/>
                <w:webHidden/>
              </w:rPr>
              <w:instrText xml:space="preserve"> PAGEREF _Toc175577698 \h </w:instrText>
            </w:r>
            <w:r w:rsidR="00350D41">
              <w:rPr>
                <w:noProof/>
                <w:webHidden/>
              </w:rPr>
            </w:r>
            <w:r w:rsidR="00350D41">
              <w:rPr>
                <w:noProof/>
                <w:webHidden/>
              </w:rPr>
              <w:fldChar w:fldCharType="separate"/>
            </w:r>
            <w:r w:rsidR="00350D41">
              <w:rPr>
                <w:noProof/>
                <w:webHidden/>
              </w:rPr>
              <w:t>18</w:t>
            </w:r>
            <w:r w:rsidR="00350D41">
              <w:rPr>
                <w:noProof/>
                <w:webHidden/>
              </w:rPr>
              <w:fldChar w:fldCharType="end"/>
            </w:r>
          </w:hyperlink>
        </w:p>
        <w:p w14:paraId="1AE3184A" w14:textId="2FE5C57C"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699" w:history="1">
            <w:r w:rsidR="00350D41" w:rsidRPr="007A7ECB">
              <w:rPr>
                <w:rStyle w:val="Hyperlink"/>
                <w:noProof/>
              </w:rPr>
              <w:t>Reports published by ECDC on LGV infection</w:t>
            </w:r>
            <w:r w:rsidR="00350D41">
              <w:rPr>
                <w:noProof/>
                <w:webHidden/>
              </w:rPr>
              <w:tab/>
            </w:r>
            <w:r w:rsidR="00350D41">
              <w:rPr>
                <w:noProof/>
                <w:webHidden/>
              </w:rPr>
              <w:fldChar w:fldCharType="begin"/>
            </w:r>
            <w:r w:rsidR="00350D41">
              <w:rPr>
                <w:noProof/>
                <w:webHidden/>
              </w:rPr>
              <w:instrText xml:space="preserve"> PAGEREF _Toc175577699 \h </w:instrText>
            </w:r>
            <w:r w:rsidR="00350D41">
              <w:rPr>
                <w:noProof/>
                <w:webHidden/>
              </w:rPr>
            </w:r>
            <w:r w:rsidR="00350D41">
              <w:rPr>
                <w:noProof/>
                <w:webHidden/>
              </w:rPr>
              <w:fldChar w:fldCharType="separate"/>
            </w:r>
            <w:r w:rsidR="00350D41">
              <w:rPr>
                <w:noProof/>
                <w:webHidden/>
              </w:rPr>
              <w:t>18</w:t>
            </w:r>
            <w:r w:rsidR="00350D41">
              <w:rPr>
                <w:noProof/>
                <w:webHidden/>
              </w:rPr>
              <w:fldChar w:fldCharType="end"/>
            </w:r>
          </w:hyperlink>
        </w:p>
        <w:p w14:paraId="15277E9D" w14:textId="6EFFAA3C"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0" w:history="1">
            <w:r w:rsidR="00350D41" w:rsidRPr="007A7ECB">
              <w:rPr>
                <w:rStyle w:val="Hyperlink"/>
                <w:noProof/>
              </w:rPr>
              <w:t>Surveillance systems overview, LGV, 2023</w:t>
            </w:r>
            <w:r w:rsidR="00350D41">
              <w:rPr>
                <w:noProof/>
                <w:webHidden/>
              </w:rPr>
              <w:tab/>
            </w:r>
            <w:r w:rsidR="00350D41">
              <w:rPr>
                <w:noProof/>
                <w:webHidden/>
              </w:rPr>
              <w:fldChar w:fldCharType="begin"/>
            </w:r>
            <w:r w:rsidR="00350D41">
              <w:rPr>
                <w:noProof/>
                <w:webHidden/>
              </w:rPr>
              <w:instrText xml:space="preserve"> PAGEREF _Toc175577700 \h </w:instrText>
            </w:r>
            <w:r w:rsidR="00350D41">
              <w:rPr>
                <w:noProof/>
                <w:webHidden/>
              </w:rPr>
            </w:r>
            <w:r w:rsidR="00350D41">
              <w:rPr>
                <w:noProof/>
                <w:webHidden/>
              </w:rPr>
              <w:fldChar w:fldCharType="separate"/>
            </w:r>
            <w:r w:rsidR="00350D41">
              <w:rPr>
                <w:noProof/>
                <w:webHidden/>
              </w:rPr>
              <w:t>19</w:t>
            </w:r>
            <w:r w:rsidR="00350D41">
              <w:rPr>
                <w:noProof/>
                <w:webHidden/>
              </w:rPr>
              <w:fldChar w:fldCharType="end"/>
            </w:r>
          </w:hyperlink>
        </w:p>
        <w:p w14:paraId="27311B90" w14:textId="48C9B166" w:rsidR="00350D41" w:rsidRDefault="00A07B1B">
          <w:pPr>
            <w:pStyle w:val="TOC2"/>
            <w:rPr>
              <w:rFonts w:asciiTheme="minorHAnsi" w:eastAsiaTheme="minorEastAsia" w:hAnsiTheme="minorHAnsi" w:cstheme="minorBidi"/>
              <w:kern w:val="2"/>
              <w:sz w:val="24"/>
              <w:lang w:eastAsia="en-GB"/>
              <w14:ligatures w14:val="standardContextual"/>
            </w:rPr>
          </w:pPr>
          <w:hyperlink w:anchor="_Toc175577701" w:history="1">
            <w:r w:rsidR="00350D41" w:rsidRPr="007A7ECB">
              <w:rPr>
                <w:rStyle w:val="Hyperlink"/>
              </w:rPr>
              <w:t>Congenital syphilis</w:t>
            </w:r>
            <w:r w:rsidR="00350D41">
              <w:rPr>
                <w:webHidden/>
              </w:rPr>
              <w:tab/>
            </w:r>
            <w:r w:rsidR="00350D41">
              <w:rPr>
                <w:webHidden/>
              </w:rPr>
              <w:fldChar w:fldCharType="begin"/>
            </w:r>
            <w:r w:rsidR="00350D41">
              <w:rPr>
                <w:webHidden/>
              </w:rPr>
              <w:instrText xml:space="preserve"> PAGEREF _Toc175577701 \h </w:instrText>
            </w:r>
            <w:r w:rsidR="00350D41">
              <w:rPr>
                <w:webHidden/>
              </w:rPr>
            </w:r>
            <w:r w:rsidR="00350D41">
              <w:rPr>
                <w:webHidden/>
              </w:rPr>
              <w:fldChar w:fldCharType="separate"/>
            </w:r>
            <w:r w:rsidR="00350D41">
              <w:rPr>
                <w:webHidden/>
              </w:rPr>
              <w:t>20</w:t>
            </w:r>
            <w:r w:rsidR="00350D41">
              <w:rPr>
                <w:webHidden/>
              </w:rPr>
              <w:fldChar w:fldCharType="end"/>
            </w:r>
          </w:hyperlink>
        </w:p>
        <w:p w14:paraId="21FB2494" w14:textId="7292FB15"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2" w:history="1">
            <w:r w:rsidR="00350D41" w:rsidRPr="007A7ECB">
              <w:rPr>
                <w:rStyle w:val="Hyperlink"/>
                <w:noProof/>
              </w:rPr>
              <w:t>Data</w:t>
            </w:r>
            <w:r w:rsidR="00350D41">
              <w:rPr>
                <w:noProof/>
                <w:webHidden/>
              </w:rPr>
              <w:tab/>
            </w:r>
            <w:r w:rsidR="00350D41">
              <w:rPr>
                <w:noProof/>
                <w:webHidden/>
              </w:rPr>
              <w:fldChar w:fldCharType="begin"/>
            </w:r>
            <w:r w:rsidR="00350D41">
              <w:rPr>
                <w:noProof/>
                <w:webHidden/>
              </w:rPr>
              <w:instrText xml:space="preserve"> PAGEREF _Toc175577702 \h </w:instrText>
            </w:r>
            <w:r w:rsidR="00350D41">
              <w:rPr>
                <w:noProof/>
                <w:webHidden/>
              </w:rPr>
            </w:r>
            <w:r w:rsidR="00350D41">
              <w:rPr>
                <w:noProof/>
                <w:webHidden/>
              </w:rPr>
              <w:fldChar w:fldCharType="separate"/>
            </w:r>
            <w:r w:rsidR="00350D41">
              <w:rPr>
                <w:noProof/>
                <w:webHidden/>
              </w:rPr>
              <w:t>20</w:t>
            </w:r>
            <w:r w:rsidR="00350D41">
              <w:rPr>
                <w:noProof/>
                <w:webHidden/>
              </w:rPr>
              <w:fldChar w:fldCharType="end"/>
            </w:r>
          </w:hyperlink>
        </w:p>
        <w:p w14:paraId="3AB6FD42" w14:textId="60762EB5"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3" w:history="1">
            <w:r w:rsidR="00350D41" w:rsidRPr="007A7ECB">
              <w:rPr>
                <w:rStyle w:val="Hyperlink"/>
                <w:noProof/>
              </w:rPr>
              <w:t>Data collection and analysis</w:t>
            </w:r>
            <w:r w:rsidR="00350D41">
              <w:rPr>
                <w:noProof/>
                <w:webHidden/>
              </w:rPr>
              <w:tab/>
            </w:r>
            <w:r w:rsidR="00350D41">
              <w:rPr>
                <w:noProof/>
                <w:webHidden/>
              </w:rPr>
              <w:fldChar w:fldCharType="begin"/>
            </w:r>
            <w:r w:rsidR="00350D41">
              <w:rPr>
                <w:noProof/>
                <w:webHidden/>
              </w:rPr>
              <w:instrText xml:space="preserve"> PAGEREF _Toc175577703 \h </w:instrText>
            </w:r>
            <w:r w:rsidR="00350D41">
              <w:rPr>
                <w:noProof/>
                <w:webHidden/>
              </w:rPr>
            </w:r>
            <w:r w:rsidR="00350D41">
              <w:rPr>
                <w:noProof/>
                <w:webHidden/>
              </w:rPr>
              <w:fldChar w:fldCharType="separate"/>
            </w:r>
            <w:r w:rsidR="00350D41">
              <w:rPr>
                <w:noProof/>
                <w:webHidden/>
              </w:rPr>
              <w:t>21</w:t>
            </w:r>
            <w:r w:rsidR="00350D41">
              <w:rPr>
                <w:noProof/>
                <w:webHidden/>
              </w:rPr>
              <w:fldChar w:fldCharType="end"/>
            </w:r>
          </w:hyperlink>
        </w:p>
        <w:p w14:paraId="191EAF5C" w14:textId="217DB381"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4" w:history="1">
            <w:r w:rsidR="00350D41" w:rsidRPr="007A7ECB">
              <w:rPr>
                <w:rStyle w:val="Hyperlink"/>
                <w:noProof/>
              </w:rPr>
              <w:t>Surveillance Atlas indicators</w:t>
            </w:r>
            <w:r w:rsidR="00350D41">
              <w:rPr>
                <w:noProof/>
                <w:webHidden/>
              </w:rPr>
              <w:tab/>
            </w:r>
            <w:r w:rsidR="00350D41">
              <w:rPr>
                <w:noProof/>
                <w:webHidden/>
              </w:rPr>
              <w:fldChar w:fldCharType="begin"/>
            </w:r>
            <w:r w:rsidR="00350D41">
              <w:rPr>
                <w:noProof/>
                <w:webHidden/>
              </w:rPr>
              <w:instrText xml:space="preserve"> PAGEREF _Toc175577704 \h </w:instrText>
            </w:r>
            <w:r w:rsidR="00350D41">
              <w:rPr>
                <w:noProof/>
                <w:webHidden/>
              </w:rPr>
            </w:r>
            <w:r w:rsidR="00350D41">
              <w:rPr>
                <w:noProof/>
                <w:webHidden/>
              </w:rPr>
              <w:fldChar w:fldCharType="separate"/>
            </w:r>
            <w:r w:rsidR="00350D41">
              <w:rPr>
                <w:noProof/>
                <w:webHidden/>
              </w:rPr>
              <w:t>21</w:t>
            </w:r>
            <w:r w:rsidR="00350D41">
              <w:rPr>
                <w:noProof/>
                <w:webHidden/>
              </w:rPr>
              <w:fldChar w:fldCharType="end"/>
            </w:r>
          </w:hyperlink>
        </w:p>
        <w:p w14:paraId="493A22DB" w14:textId="0E79079F"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5" w:history="1">
            <w:r w:rsidR="00350D41" w:rsidRPr="007A7ECB">
              <w:rPr>
                <w:rStyle w:val="Hyperlink"/>
                <w:rFonts w:eastAsia="Arial Unicode MS"/>
                <w:noProof/>
                <w:kern w:val="22"/>
              </w:rPr>
              <w:t>Symbols used in the Surveillance Atlas:</w:t>
            </w:r>
            <w:r w:rsidR="00350D41">
              <w:rPr>
                <w:noProof/>
                <w:webHidden/>
              </w:rPr>
              <w:tab/>
            </w:r>
            <w:r w:rsidR="00350D41">
              <w:rPr>
                <w:noProof/>
                <w:webHidden/>
              </w:rPr>
              <w:fldChar w:fldCharType="begin"/>
            </w:r>
            <w:r w:rsidR="00350D41">
              <w:rPr>
                <w:noProof/>
                <w:webHidden/>
              </w:rPr>
              <w:instrText xml:space="preserve"> PAGEREF _Toc175577705 \h </w:instrText>
            </w:r>
            <w:r w:rsidR="00350D41">
              <w:rPr>
                <w:noProof/>
                <w:webHidden/>
              </w:rPr>
            </w:r>
            <w:r w:rsidR="00350D41">
              <w:rPr>
                <w:noProof/>
                <w:webHidden/>
              </w:rPr>
              <w:fldChar w:fldCharType="separate"/>
            </w:r>
            <w:r w:rsidR="00350D41">
              <w:rPr>
                <w:noProof/>
                <w:webHidden/>
              </w:rPr>
              <w:t>21</w:t>
            </w:r>
            <w:r w:rsidR="00350D41">
              <w:rPr>
                <w:noProof/>
                <w:webHidden/>
              </w:rPr>
              <w:fldChar w:fldCharType="end"/>
            </w:r>
          </w:hyperlink>
        </w:p>
        <w:p w14:paraId="5657FB82" w14:textId="69464858"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6" w:history="1">
            <w:r w:rsidR="00350D41" w:rsidRPr="007A7ECB">
              <w:rPr>
                <w:rStyle w:val="Hyperlink"/>
                <w:noProof/>
              </w:rPr>
              <w:t>Data quality</w:t>
            </w:r>
            <w:r w:rsidR="00350D41">
              <w:rPr>
                <w:noProof/>
                <w:webHidden/>
              </w:rPr>
              <w:tab/>
            </w:r>
            <w:r w:rsidR="00350D41">
              <w:rPr>
                <w:noProof/>
                <w:webHidden/>
              </w:rPr>
              <w:fldChar w:fldCharType="begin"/>
            </w:r>
            <w:r w:rsidR="00350D41">
              <w:rPr>
                <w:noProof/>
                <w:webHidden/>
              </w:rPr>
              <w:instrText xml:space="preserve"> PAGEREF _Toc175577706 \h </w:instrText>
            </w:r>
            <w:r w:rsidR="00350D41">
              <w:rPr>
                <w:noProof/>
                <w:webHidden/>
              </w:rPr>
            </w:r>
            <w:r w:rsidR="00350D41">
              <w:rPr>
                <w:noProof/>
                <w:webHidden/>
              </w:rPr>
              <w:fldChar w:fldCharType="separate"/>
            </w:r>
            <w:r w:rsidR="00350D41">
              <w:rPr>
                <w:noProof/>
                <w:webHidden/>
              </w:rPr>
              <w:t>21</w:t>
            </w:r>
            <w:r w:rsidR="00350D41">
              <w:rPr>
                <w:noProof/>
                <w:webHidden/>
              </w:rPr>
              <w:fldChar w:fldCharType="end"/>
            </w:r>
          </w:hyperlink>
        </w:p>
        <w:p w14:paraId="08587CCD" w14:textId="49A70943"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7" w:history="1">
            <w:r w:rsidR="00350D41" w:rsidRPr="007A7ECB">
              <w:rPr>
                <w:rStyle w:val="Hyperlink"/>
                <w:noProof/>
              </w:rPr>
              <w:t>Interpretation</w:t>
            </w:r>
            <w:r w:rsidR="00350D41">
              <w:rPr>
                <w:noProof/>
                <w:webHidden/>
              </w:rPr>
              <w:tab/>
            </w:r>
            <w:r w:rsidR="00350D41">
              <w:rPr>
                <w:noProof/>
                <w:webHidden/>
              </w:rPr>
              <w:fldChar w:fldCharType="begin"/>
            </w:r>
            <w:r w:rsidR="00350D41">
              <w:rPr>
                <w:noProof/>
                <w:webHidden/>
              </w:rPr>
              <w:instrText xml:space="preserve"> PAGEREF _Toc175577707 \h </w:instrText>
            </w:r>
            <w:r w:rsidR="00350D41">
              <w:rPr>
                <w:noProof/>
                <w:webHidden/>
              </w:rPr>
            </w:r>
            <w:r w:rsidR="00350D41">
              <w:rPr>
                <w:noProof/>
                <w:webHidden/>
              </w:rPr>
              <w:fldChar w:fldCharType="separate"/>
            </w:r>
            <w:r w:rsidR="00350D41">
              <w:rPr>
                <w:noProof/>
                <w:webHidden/>
              </w:rPr>
              <w:t>21</w:t>
            </w:r>
            <w:r w:rsidR="00350D41">
              <w:rPr>
                <w:noProof/>
                <w:webHidden/>
              </w:rPr>
              <w:fldChar w:fldCharType="end"/>
            </w:r>
          </w:hyperlink>
        </w:p>
        <w:p w14:paraId="45B87E64" w14:textId="704C6028"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8" w:history="1">
            <w:r w:rsidR="00350D41" w:rsidRPr="007A7ECB">
              <w:rPr>
                <w:rStyle w:val="Hyperlink"/>
                <w:noProof/>
              </w:rPr>
              <w:t>Reports published by ECDC on congenital syphilis</w:t>
            </w:r>
            <w:r w:rsidR="00350D41">
              <w:rPr>
                <w:noProof/>
                <w:webHidden/>
              </w:rPr>
              <w:tab/>
            </w:r>
            <w:r w:rsidR="00350D41">
              <w:rPr>
                <w:noProof/>
                <w:webHidden/>
              </w:rPr>
              <w:fldChar w:fldCharType="begin"/>
            </w:r>
            <w:r w:rsidR="00350D41">
              <w:rPr>
                <w:noProof/>
                <w:webHidden/>
              </w:rPr>
              <w:instrText xml:space="preserve"> PAGEREF _Toc175577708 \h </w:instrText>
            </w:r>
            <w:r w:rsidR="00350D41">
              <w:rPr>
                <w:noProof/>
                <w:webHidden/>
              </w:rPr>
            </w:r>
            <w:r w:rsidR="00350D41">
              <w:rPr>
                <w:noProof/>
                <w:webHidden/>
              </w:rPr>
              <w:fldChar w:fldCharType="separate"/>
            </w:r>
            <w:r w:rsidR="00350D41">
              <w:rPr>
                <w:noProof/>
                <w:webHidden/>
              </w:rPr>
              <w:t>22</w:t>
            </w:r>
            <w:r w:rsidR="00350D41">
              <w:rPr>
                <w:noProof/>
                <w:webHidden/>
              </w:rPr>
              <w:fldChar w:fldCharType="end"/>
            </w:r>
          </w:hyperlink>
        </w:p>
        <w:p w14:paraId="51D5ABD4" w14:textId="4EDF6E29" w:rsidR="00350D41" w:rsidRDefault="00A07B1B">
          <w:pPr>
            <w:pStyle w:val="TOC3"/>
            <w:tabs>
              <w:tab w:val="right" w:leader="dot" w:pos="9016"/>
            </w:tabs>
            <w:rPr>
              <w:rFonts w:asciiTheme="minorHAnsi" w:eastAsiaTheme="minorEastAsia" w:hAnsiTheme="minorHAnsi" w:cstheme="minorBidi"/>
              <w:noProof/>
              <w:kern w:val="2"/>
              <w:sz w:val="24"/>
              <w:lang w:eastAsia="en-GB"/>
              <w14:ligatures w14:val="standardContextual"/>
            </w:rPr>
          </w:pPr>
          <w:hyperlink w:anchor="_Toc175577709" w:history="1">
            <w:r w:rsidR="00350D41" w:rsidRPr="007A7ECB">
              <w:rPr>
                <w:rStyle w:val="Hyperlink"/>
                <w:noProof/>
              </w:rPr>
              <w:t>Surveillance systems overview, congenital syphilis, 2023</w:t>
            </w:r>
            <w:r w:rsidR="00350D41">
              <w:rPr>
                <w:noProof/>
                <w:webHidden/>
              </w:rPr>
              <w:tab/>
            </w:r>
            <w:r w:rsidR="00350D41">
              <w:rPr>
                <w:noProof/>
                <w:webHidden/>
              </w:rPr>
              <w:fldChar w:fldCharType="begin"/>
            </w:r>
            <w:r w:rsidR="00350D41">
              <w:rPr>
                <w:noProof/>
                <w:webHidden/>
              </w:rPr>
              <w:instrText xml:space="preserve"> PAGEREF _Toc175577709 \h </w:instrText>
            </w:r>
            <w:r w:rsidR="00350D41">
              <w:rPr>
                <w:noProof/>
                <w:webHidden/>
              </w:rPr>
            </w:r>
            <w:r w:rsidR="00350D41">
              <w:rPr>
                <w:noProof/>
                <w:webHidden/>
              </w:rPr>
              <w:fldChar w:fldCharType="separate"/>
            </w:r>
            <w:r w:rsidR="00350D41">
              <w:rPr>
                <w:noProof/>
                <w:webHidden/>
              </w:rPr>
              <w:t>23</w:t>
            </w:r>
            <w:r w:rsidR="00350D41">
              <w:rPr>
                <w:noProof/>
                <w:webHidden/>
              </w:rPr>
              <w:fldChar w:fldCharType="end"/>
            </w:r>
          </w:hyperlink>
        </w:p>
        <w:p w14:paraId="46E5C346" w14:textId="61E087A4" w:rsidR="00F52848" w:rsidRDefault="00F52848">
          <w:r>
            <w:rPr>
              <w:b/>
              <w:bCs/>
              <w:noProof/>
            </w:rPr>
            <w:fldChar w:fldCharType="end"/>
          </w:r>
        </w:p>
      </w:sdtContent>
    </w:sdt>
    <w:p w14:paraId="26D67EBD" w14:textId="77777777" w:rsidR="00F52848" w:rsidRDefault="00F52848">
      <w:pPr>
        <w:spacing w:after="200" w:line="276" w:lineRule="auto"/>
        <w:rPr>
          <w:rFonts w:cs="Tahoma"/>
          <w:b/>
          <w:bCs/>
          <w:color w:val="69AE23"/>
          <w:sz w:val="30"/>
          <w:szCs w:val="30"/>
          <w:lang w:eastAsia="en-US"/>
        </w:rPr>
      </w:pPr>
      <w:r>
        <w:br w:type="page"/>
      </w:r>
    </w:p>
    <w:p w14:paraId="4F86F49A" w14:textId="71AECF58" w:rsidR="00F52848" w:rsidRPr="000B17E9" w:rsidRDefault="00F52848" w:rsidP="00F52848">
      <w:pPr>
        <w:pStyle w:val="EC-Title-5"/>
        <w:rPr>
          <w:i/>
          <w:spacing w:val="-8"/>
        </w:rPr>
      </w:pPr>
      <w:bookmarkStart w:id="9" w:name="_Toc175577660"/>
      <w:r w:rsidRPr="000B17E9">
        <w:rPr>
          <w:spacing w:val="-8"/>
        </w:rPr>
        <w:lastRenderedPageBreak/>
        <w:t xml:space="preserve">Chlamydia infection (excluding </w:t>
      </w:r>
      <w:r w:rsidRPr="000B17E9">
        <w:rPr>
          <w:i/>
          <w:spacing w:val="-8"/>
        </w:rPr>
        <w:t>Lymphogranuloma venereum</w:t>
      </w:r>
      <w:r w:rsidRPr="000B17E9">
        <w:rPr>
          <w:spacing w:val="-8"/>
        </w:rPr>
        <w:t>)</w:t>
      </w:r>
      <w:bookmarkEnd w:id="9"/>
    </w:p>
    <w:p w14:paraId="076295AF" w14:textId="0E1E8B96" w:rsidR="00F52848" w:rsidRDefault="00F52848" w:rsidP="00F52848">
      <w:pPr>
        <w:pStyle w:val="EC-Para"/>
        <w:jc w:val="right"/>
        <w:rPr>
          <w:b/>
          <w:lang w:eastAsia="en-US"/>
        </w:rPr>
      </w:pPr>
      <w:r>
        <w:rPr>
          <w:b/>
          <w:lang w:eastAsia="en-US"/>
        </w:rPr>
        <w:t xml:space="preserve">Last updated: </w:t>
      </w:r>
      <w:r w:rsidR="006923AD">
        <w:rPr>
          <w:b/>
          <w:lang w:eastAsia="en-US"/>
        </w:rPr>
        <w:t>2</w:t>
      </w:r>
      <w:r w:rsidR="00056AF0">
        <w:rPr>
          <w:b/>
          <w:lang w:eastAsia="en-US"/>
        </w:rPr>
        <w:t>9</w:t>
      </w:r>
      <w:r w:rsidR="006923AD">
        <w:rPr>
          <w:b/>
          <w:lang w:eastAsia="en-US"/>
        </w:rPr>
        <w:t xml:space="preserve"> August</w:t>
      </w:r>
      <w:r w:rsidR="00F545EA">
        <w:rPr>
          <w:b/>
          <w:lang w:eastAsia="en-US"/>
        </w:rPr>
        <w:t xml:space="preserve"> </w:t>
      </w:r>
      <w:r w:rsidR="002D0898">
        <w:rPr>
          <w:b/>
          <w:lang w:eastAsia="en-US"/>
        </w:rPr>
        <w:t>202</w:t>
      </w:r>
      <w:r w:rsidR="006923AD">
        <w:rPr>
          <w:b/>
          <w:lang w:eastAsia="en-US"/>
        </w:rPr>
        <w:t>4</w:t>
      </w:r>
    </w:p>
    <w:p w14:paraId="18DC62CB" w14:textId="4A719F58" w:rsidR="008665AA" w:rsidRDefault="007F70E8" w:rsidP="00F52848">
      <w:pPr>
        <w:pStyle w:val="EC-Para"/>
        <w:jc w:val="right"/>
        <w:rPr>
          <w:b/>
          <w:lang w:eastAsia="en-US"/>
        </w:rPr>
      </w:pPr>
      <w:r>
        <w:rPr>
          <w:b/>
          <w:lang w:eastAsia="en-US"/>
        </w:rPr>
        <w:t xml:space="preserve">Data as of </w:t>
      </w:r>
      <w:r w:rsidR="00056AF0">
        <w:rPr>
          <w:b/>
          <w:lang w:eastAsia="en-US"/>
        </w:rPr>
        <w:t>29</w:t>
      </w:r>
      <w:r w:rsidR="002D0898">
        <w:rPr>
          <w:b/>
          <w:lang w:eastAsia="en-US"/>
        </w:rPr>
        <w:t xml:space="preserve"> </w:t>
      </w:r>
      <w:r w:rsidR="006923AD">
        <w:rPr>
          <w:b/>
          <w:lang w:eastAsia="en-US"/>
        </w:rPr>
        <w:t xml:space="preserve">August </w:t>
      </w:r>
      <w:r w:rsidR="002D0898">
        <w:rPr>
          <w:b/>
          <w:lang w:eastAsia="en-US"/>
        </w:rPr>
        <w:t>202</w:t>
      </w:r>
      <w:r w:rsidR="006923AD">
        <w:rPr>
          <w:b/>
          <w:lang w:eastAsia="en-US"/>
        </w:rPr>
        <w:t>4</w:t>
      </w:r>
    </w:p>
    <w:p w14:paraId="6C1516F7" w14:textId="77777777" w:rsidR="00F52848" w:rsidRDefault="00F52848" w:rsidP="00F52848">
      <w:pPr>
        <w:autoSpaceDE w:val="0"/>
        <w:autoSpaceDN w:val="0"/>
        <w:adjustRightInd w:val="0"/>
        <w:spacing w:after="120"/>
        <w:jc w:val="both"/>
        <w:rPr>
          <w:rFonts w:cs="Tahoma"/>
          <w:sz w:val="18"/>
          <w:szCs w:val="18"/>
          <w:shd w:val="clear" w:color="auto" w:fill="FFFFFF"/>
        </w:rPr>
      </w:pPr>
    </w:p>
    <w:p w14:paraId="001EEB02" w14:textId="77777777" w:rsidR="00F52848" w:rsidRPr="003B7754" w:rsidRDefault="00F52848" w:rsidP="00F52848">
      <w:pPr>
        <w:pBdr>
          <w:top w:val="single" w:sz="18" w:space="1" w:color="auto"/>
          <w:left w:val="single" w:sz="18" w:space="4" w:color="auto"/>
          <w:bottom w:val="single" w:sz="18" w:space="1" w:color="auto"/>
          <w:right w:val="single" w:sz="18" w:space="4" w:color="auto"/>
        </w:pBd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Data in t</w:t>
      </w:r>
      <w:r w:rsidRPr="008452EE">
        <w:rPr>
          <w:rFonts w:eastAsia="Arial Unicode MS" w:cs="Tahoma"/>
          <w:kern w:val="22"/>
          <w:sz w:val="18"/>
          <w:szCs w:val="18"/>
        </w:rPr>
        <w:t xml:space="preserve">he chlamydia infection atlas should be interpreted with caution and comparisons across countries </w:t>
      </w:r>
      <w:r w:rsidRPr="003B7754">
        <w:rPr>
          <w:rFonts w:eastAsia="Arial Unicode MS" w:cs="Tahoma"/>
          <w:kern w:val="22"/>
          <w:sz w:val="18"/>
          <w:szCs w:val="18"/>
        </w:rPr>
        <w:t xml:space="preserve">avoided. Chlamydia surveillance data depend heavily on testing strategies, availability of diagnostics and diagnostic pathways </w:t>
      </w:r>
      <w:proofErr w:type="gramStart"/>
      <w:r w:rsidRPr="003B7754">
        <w:rPr>
          <w:rFonts w:eastAsia="Arial Unicode MS" w:cs="Tahoma"/>
          <w:kern w:val="22"/>
          <w:sz w:val="18"/>
          <w:szCs w:val="18"/>
        </w:rPr>
        <w:t>used</w:t>
      </w:r>
      <w:proofErr w:type="gramEnd"/>
      <w:r w:rsidRPr="003B7754">
        <w:rPr>
          <w:rFonts w:eastAsia="Arial Unicode MS" w:cs="Tahoma"/>
          <w:kern w:val="22"/>
          <w:sz w:val="18"/>
          <w:szCs w:val="18"/>
        </w:rPr>
        <w:t xml:space="preserve"> and </w:t>
      </w:r>
      <w:r>
        <w:rPr>
          <w:rFonts w:eastAsia="Arial Unicode MS" w:cs="Tahoma"/>
          <w:kern w:val="22"/>
          <w:sz w:val="18"/>
          <w:szCs w:val="18"/>
        </w:rPr>
        <w:t xml:space="preserve">all </w:t>
      </w:r>
      <w:r w:rsidRPr="008452EE">
        <w:rPr>
          <w:rFonts w:eastAsia="Arial Unicode MS" w:cs="Tahoma"/>
          <w:kern w:val="22"/>
          <w:sz w:val="18"/>
          <w:szCs w:val="18"/>
        </w:rPr>
        <w:t>these vary significantly across countries. In addition, under-reporting may</w:t>
      </w:r>
      <w:r w:rsidRPr="003B7754">
        <w:rPr>
          <w:rFonts w:eastAsia="Arial Unicode MS" w:cs="Tahoma"/>
          <w:kern w:val="22"/>
          <w:sz w:val="18"/>
          <w:szCs w:val="18"/>
        </w:rPr>
        <w:t xml:space="preserve"> differ between countries depending on the characteristics of their surveillance systems</w:t>
      </w:r>
      <w:r>
        <w:rPr>
          <w:rFonts w:eastAsia="Arial Unicode MS" w:cs="Tahoma"/>
          <w:kern w:val="22"/>
          <w:sz w:val="18"/>
          <w:szCs w:val="18"/>
        </w:rPr>
        <w:t xml:space="preserve"> and may change over time</w:t>
      </w:r>
      <w:r w:rsidRPr="003B7754">
        <w:rPr>
          <w:rFonts w:eastAsia="Arial Unicode MS" w:cs="Tahoma"/>
          <w:kern w:val="22"/>
          <w:sz w:val="18"/>
          <w:szCs w:val="18"/>
        </w:rPr>
        <w:t xml:space="preserve">. </w:t>
      </w:r>
      <w:r>
        <w:rPr>
          <w:rFonts w:eastAsia="Arial Unicode MS" w:cs="Tahoma"/>
          <w:kern w:val="22"/>
          <w:sz w:val="18"/>
          <w:szCs w:val="18"/>
        </w:rPr>
        <w:t>Note that testing rates have increased across Europe since the early 1990s and the increase in reported cases is mainly linked to increased testing.</w:t>
      </w:r>
    </w:p>
    <w:p w14:paraId="3D2A6725" w14:textId="77777777" w:rsidR="00F52848" w:rsidRDefault="00F52848" w:rsidP="00F52848">
      <w:pPr>
        <w:autoSpaceDE w:val="0"/>
        <w:autoSpaceDN w:val="0"/>
        <w:adjustRightInd w:val="0"/>
        <w:spacing w:after="120"/>
        <w:jc w:val="both"/>
        <w:rPr>
          <w:rFonts w:cs="Tahoma"/>
          <w:sz w:val="18"/>
          <w:szCs w:val="18"/>
          <w:shd w:val="clear" w:color="auto" w:fill="FFFFFF"/>
        </w:rPr>
      </w:pPr>
    </w:p>
    <w:p w14:paraId="1EC3D1DC" w14:textId="77777777" w:rsidR="00F52848" w:rsidRPr="00E85C7E" w:rsidRDefault="00F52848" w:rsidP="00F52848">
      <w:pPr>
        <w:autoSpaceDE w:val="0"/>
        <w:autoSpaceDN w:val="0"/>
        <w:adjustRightInd w:val="0"/>
        <w:spacing w:after="120"/>
        <w:jc w:val="both"/>
        <w:rPr>
          <w:color w:val="333333"/>
          <w:szCs w:val="18"/>
          <w:shd w:val="clear" w:color="auto" w:fill="FFFFFF"/>
        </w:rPr>
      </w:pPr>
      <w:r>
        <w:rPr>
          <w:rFonts w:cs="Tahoma"/>
          <w:sz w:val="18"/>
          <w:szCs w:val="18"/>
          <w:shd w:val="clear" w:color="auto" w:fill="FFFFFF"/>
        </w:rPr>
        <w:t>C</w:t>
      </w:r>
      <w:r w:rsidRPr="00C600C5">
        <w:rPr>
          <w:rFonts w:cs="Tahoma"/>
          <w:sz w:val="18"/>
          <w:szCs w:val="18"/>
          <w:shd w:val="clear" w:color="auto" w:fill="FFFFFF"/>
        </w:rPr>
        <w:t xml:space="preserve">hlamydia </w:t>
      </w:r>
      <w:r>
        <w:rPr>
          <w:rFonts w:cs="Tahoma"/>
          <w:sz w:val="18"/>
          <w:szCs w:val="18"/>
          <w:shd w:val="clear" w:color="auto" w:fill="FFFFFF"/>
        </w:rPr>
        <w:t xml:space="preserve">infection </w:t>
      </w:r>
      <w:r w:rsidRPr="00C600C5">
        <w:rPr>
          <w:rFonts w:cs="Tahoma"/>
          <w:sz w:val="18"/>
          <w:szCs w:val="18"/>
          <w:shd w:val="clear" w:color="auto" w:fill="FFFFFF"/>
        </w:rPr>
        <w:t xml:space="preserve">is sexually transmitted </w:t>
      </w:r>
      <w:r>
        <w:rPr>
          <w:rFonts w:cs="Tahoma"/>
          <w:sz w:val="18"/>
          <w:szCs w:val="18"/>
          <w:shd w:val="clear" w:color="auto" w:fill="FFFFFF"/>
        </w:rPr>
        <w:t xml:space="preserve">and </w:t>
      </w:r>
      <w:r w:rsidRPr="00C600C5">
        <w:rPr>
          <w:rFonts w:cs="Tahoma"/>
          <w:sz w:val="18"/>
          <w:szCs w:val="18"/>
          <w:shd w:val="clear" w:color="auto" w:fill="FFFFFF"/>
        </w:rPr>
        <w:t>caused by the</w:t>
      </w:r>
      <w:r w:rsidRPr="00C600C5">
        <w:rPr>
          <w:rStyle w:val="apple-converted-space"/>
          <w:rFonts w:cs="Tahoma"/>
          <w:i/>
          <w:iCs/>
          <w:sz w:val="18"/>
          <w:szCs w:val="18"/>
          <w:shd w:val="clear" w:color="auto" w:fill="FFFFFF"/>
        </w:rPr>
        <w:t> </w:t>
      </w:r>
      <w:r>
        <w:rPr>
          <w:rStyle w:val="apple-converted-space"/>
          <w:rFonts w:cs="Tahoma"/>
          <w:iCs/>
          <w:sz w:val="18"/>
          <w:szCs w:val="18"/>
          <w:shd w:val="clear" w:color="auto" w:fill="FFFFFF"/>
        </w:rPr>
        <w:t xml:space="preserve">bacterium </w:t>
      </w:r>
      <w:r w:rsidRPr="00C600C5">
        <w:rPr>
          <w:rStyle w:val="Emphasis"/>
          <w:sz w:val="18"/>
          <w:szCs w:val="18"/>
          <w:shd w:val="clear" w:color="auto" w:fill="FFFFFF"/>
        </w:rPr>
        <w:t>Chlamydia trachomatis</w:t>
      </w:r>
      <w:r w:rsidRPr="00C600C5">
        <w:rPr>
          <w:rFonts w:cs="Tahoma"/>
          <w:sz w:val="18"/>
          <w:szCs w:val="18"/>
          <w:shd w:val="clear" w:color="auto" w:fill="FFFFFF"/>
        </w:rPr>
        <w:t>.</w:t>
      </w:r>
      <w:r w:rsidRPr="00C600C5">
        <w:rPr>
          <w:rFonts w:eastAsiaTheme="minorHAnsi" w:cs="Tahoma"/>
          <w:sz w:val="18"/>
          <w:szCs w:val="18"/>
          <w:lang w:eastAsia="en-US"/>
        </w:rPr>
        <w:t xml:space="preserve"> </w:t>
      </w:r>
      <w:r w:rsidRPr="00E85C7E">
        <w:rPr>
          <w:rFonts w:eastAsiaTheme="minorHAnsi" w:cs="Tahoma"/>
          <w:sz w:val="18"/>
          <w:szCs w:val="18"/>
          <w:lang w:eastAsia="en-US"/>
        </w:rPr>
        <w:t>For a more detailed description of the disease and its epidemiology</w:t>
      </w:r>
      <w:r>
        <w:rPr>
          <w:rFonts w:eastAsiaTheme="minorHAnsi" w:cs="Tahoma"/>
          <w:sz w:val="18"/>
          <w:szCs w:val="18"/>
          <w:lang w:eastAsia="en-US"/>
        </w:rPr>
        <w:t>,</w:t>
      </w:r>
      <w:r w:rsidRPr="00E85C7E">
        <w:rPr>
          <w:rFonts w:eastAsiaTheme="minorHAnsi" w:cs="Tahoma"/>
          <w:sz w:val="18"/>
          <w:szCs w:val="18"/>
          <w:lang w:eastAsia="en-US"/>
        </w:rPr>
        <w:t xml:space="preserve"> please click</w:t>
      </w:r>
      <w:r w:rsidRPr="00E85C7E">
        <w:rPr>
          <w:rFonts w:cs="Tahoma"/>
          <w:sz w:val="18"/>
          <w:szCs w:val="18"/>
        </w:rPr>
        <w:t xml:space="preserve"> </w:t>
      </w:r>
      <w:hyperlink r:id="rId13" w:history="1">
        <w:r w:rsidRPr="00F44E9A">
          <w:rPr>
            <w:rStyle w:val="Hyperlink"/>
            <w:i/>
            <w:szCs w:val="18"/>
          </w:rPr>
          <w:t>here</w:t>
        </w:r>
      </w:hyperlink>
      <w:r w:rsidRPr="00D45B30">
        <w:t xml:space="preserve">. </w:t>
      </w:r>
    </w:p>
    <w:p w14:paraId="5956977F" w14:textId="77777777" w:rsidR="00F52848" w:rsidRDefault="00F52848" w:rsidP="00F52848">
      <w:pPr>
        <w:pStyle w:val="EC-Title-6"/>
        <w:rPr>
          <w:rFonts w:cs="Tahoma"/>
        </w:rPr>
      </w:pPr>
      <w:bookmarkStart w:id="10" w:name="_Toc175577661"/>
      <w:r w:rsidRPr="00D70CFB">
        <w:rPr>
          <w:rFonts w:cs="Tahoma"/>
        </w:rPr>
        <w:t>Data</w:t>
      </w:r>
      <w:bookmarkEnd w:id="10"/>
    </w:p>
    <w:p w14:paraId="69FED447" w14:textId="77777777" w:rsidR="00F52848" w:rsidRDefault="00F52848" w:rsidP="00F52848">
      <w:pPr>
        <w:pStyle w:val="EC-Para"/>
        <w:jc w:val="both"/>
        <w:rPr>
          <w:rFonts w:cs="Tahoma"/>
        </w:rPr>
      </w:pPr>
      <w:r>
        <w:rPr>
          <w:rFonts w:cs="Tahoma"/>
        </w:rPr>
        <w:t xml:space="preserve">The Surveillance Atlas of Infectious Diseases displays data on </w:t>
      </w:r>
      <w:r w:rsidRPr="00623E9C">
        <w:rPr>
          <w:rFonts w:cs="Tahoma"/>
        </w:rPr>
        <w:t>chlamydia</w:t>
      </w:r>
      <w:r>
        <w:rPr>
          <w:rFonts w:cs="Tahoma"/>
        </w:rPr>
        <w:t xml:space="preserve"> infections reported by the EU/EEA Member States. T</w:t>
      </w:r>
      <w:r w:rsidRPr="0057427A">
        <w:rPr>
          <w:rFonts w:cs="Tahoma"/>
        </w:rPr>
        <w:t>he European Centre for Disease Prevention</w:t>
      </w:r>
      <w:r>
        <w:rPr>
          <w:rFonts w:cs="Tahoma"/>
        </w:rPr>
        <w:t xml:space="preserve"> </w:t>
      </w:r>
      <w:r w:rsidRPr="0057427A">
        <w:rPr>
          <w:rFonts w:cs="Tahoma"/>
        </w:rPr>
        <w:t>and Control (ECDC) has been coordinating the enhanced</w:t>
      </w:r>
      <w:r>
        <w:rPr>
          <w:rFonts w:cs="Tahoma"/>
        </w:rPr>
        <w:t xml:space="preserve"> </w:t>
      </w:r>
      <w:r w:rsidRPr="0057427A">
        <w:rPr>
          <w:rFonts w:cs="Tahoma"/>
        </w:rPr>
        <w:t>surveillance of sexually transmitted infections (STI) in</w:t>
      </w:r>
      <w:r>
        <w:rPr>
          <w:rFonts w:cs="Tahoma"/>
        </w:rPr>
        <w:t xml:space="preserve"> </w:t>
      </w:r>
      <w:r w:rsidRPr="0057427A">
        <w:rPr>
          <w:rFonts w:cs="Tahoma"/>
        </w:rPr>
        <w:t>Europe</w:t>
      </w:r>
      <w:r>
        <w:rPr>
          <w:rFonts w:cs="Tahoma"/>
        </w:rPr>
        <w:t xml:space="preserve"> since 2009</w:t>
      </w:r>
      <w:r w:rsidRPr="0057427A">
        <w:rPr>
          <w:rFonts w:cs="Tahoma"/>
        </w:rPr>
        <w:t>.</w:t>
      </w:r>
    </w:p>
    <w:p w14:paraId="70228C45" w14:textId="64B0BCE3" w:rsidR="00F52848" w:rsidRPr="00D70CFB" w:rsidRDefault="00F52848" w:rsidP="00F52848">
      <w:pPr>
        <w:autoSpaceDE w:val="0"/>
        <w:autoSpaceDN w:val="0"/>
        <w:adjustRightInd w:val="0"/>
        <w:spacing w:after="120"/>
        <w:jc w:val="both"/>
        <w:rPr>
          <w:rFonts w:ascii="EUAlbertina" w:eastAsiaTheme="minorHAnsi" w:hAnsi="EUAlbertina" w:cs="EUAlbertina"/>
          <w:color w:val="000000"/>
          <w:sz w:val="24"/>
          <w:lang w:eastAsia="en-US"/>
        </w:rPr>
      </w:pPr>
      <w:r>
        <w:rPr>
          <w:rFonts w:eastAsia="Arial Unicode MS" w:cs="Tahoma"/>
          <w:kern w:val="22"/>
          <w:sz w:val="18"/>
          <w:szCs w:val="18"/>
        </w:rPr>
        <w:t xml:space="preserve">Cases are </w:t>
      </w:r>
      <w:r w:rsidR="00665125">
        <w:rPr>
          <w:rFonts w:eastAsia="Arial Unicode MS" w:cs="Tahoma"/>
          <w:kern w:val="22"/>
          <w:sz w:val="18"/>
          <w:szCs w:val="18"/>
        </w:rPr>
        <w:t>classified according to the 2018</w:t>
      </w:r>
      <w:r>
        <w:rPr>
          <w:rFonts w:eastAsia="Arial Unicode MS" w:cs="Tahoma"/>
          <w:kern w:val="22"/>
          <w:sz w:val="18"/>
          <w:szCs w:val="18"/>
        </w:rPr>
        <w:t xml:space="preserve"> EU case definition for chlamydia</w:t>
      </w:r>
      <w:r>
        <w:rPr>
          <w:rStyle w:val="FootnoteReference"/>
          <w:rFonts w:eastAsiaTheme="minorHAnsi" w:cs="Tahoma"/>
          <w:szCs w:val="20"/>
          <w:lang w:eastAsia="en-US"/>
        </w:rPr>
        <w:t xml:space="preserve"> </w:t>
      </w:r>
      <w:r w:rsidRPr="00055172">
        <w:rPr>
          <w:rFonts w:eastAsia="Arial Unicode MS" w:cs="Tahoma"/>
          <w:kern w:val="22"/>
          <w:sz w:val="18"/>
          <w:szCs w:val="18"/>
        </w:rPr>
        <w:t>infection</w:t>
      </w:r>
      <w:r>
        <w:rPr>
          <w:rStyle w:val="FootnoteReference"/>
          <w:rFonts w:eastAsiaTheme="minorHAnsi" w:cs="Tahoma"/>
          <w:szCs w:val="20"/>
          <w:lang w:eastAsia="en-US"/>
        </w:rPr>
        <w:footnoteReference w:id="2"/>
      </w:r>
      <w:r>
        <w:rPr>
          <w:rFonts w:eastAsia="Arial Unicode MS" w:cs="Tahoma"/>
          <w:kern w:val="22"/>
          <w:sz w:val="18"/>
          <w:szCs w:val="18"/>
        </w:rPr>
        <w:t xml:space="preserve">. </w:t>
      </w:r>
      <w:r w:rsidR="00D034B6">
        <w:rPr>
          <w:rFonts w:eastAsia="Arial Unicode MS" w:cs="Tahoma"/>
          <w:kern w:val="22"/>
          <w:sz w:val="18"/>
          <w:szCs w:val="18"/>
        </w:rPr>
        <w:t xml:space="preserve">The case definition has not changed from the previous 2012 version. </w:t>
      </w:r>
      <w:r>
        <w:rPr>
          <w:rFonts w:eastAsia="Arial Unicode MS" w:cs="Tahoma"/>
          <w:kern w:val="22"/>
          <w:sz w:val="18"/>
          <w:szCs w:val="18"/>
        </w:rPr>
        <w:t xml:space="preserve">Only confirmed cases are reported in </w:t>
      </w:r>
      <w:proofErr w:type="spellStart"/>
      <w:r>
        <w:rPr>
          <w:rFonts w:eastAsia="Arial Unicode MS" w:cs="Tahoma"/>
          <w:kern w:val="22"/>
          <w:sz w:val="18"/>
          <w:szCs w:val="18"/>
        </w:rPr>
        <w:t>TESSy</w:t>
      </w:r>
      <w:proofErr w:type="spellEnd"/>
      <w:r>
        <w:rPr>
          <w:rFonts w:eastAsia="Arial Unicode MS" w:cs="Tahoma"/>
          <w:kern w:val="22"/>
          <w:sz w:val="18"/>
          <w:szCs w:val="18"/>
        </w:rPr>
        <w:t xml:space="preserve">. </w:t>
      </w:r>
    </w:p>
    <w:p w14:paraId="786C2328"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b/>
          <w:bCs/>
          <w:color w:val="000000"/>
          <w:sz w:val="18"/>
          <w:szCs w:val="18"/>
          <w:lang w:eastAsia="en-US"/>
        </w:rPr>
        <w:t xml:space="preserve">Clinical </w:t>
      </w:r>
      <w:r>
        <w:rPr>
          <w:rFonts w:eastAsiaTheme="minorHAnsi" w:cs="Tahoma"/>
          <w:b/>
          <w:bCs/>
          <w:color w:val="000000"/>
          <w:sz w:val="18"/>
          <w:szCs w:val="18"/>
          <w:lang w:eastAsia="en-US"/>
        </w:rPr>
        <w:t>c</w:t>
      </w:r>
      <w:r w:rsidRPr="00D70CFB">
        <w:rPr>
          <w:rFonts w:eastAsiaTheme="minorHAnsi" w:cs="Tahoma"/>
          <w:b/>
          <w:bCs/>
          <w:color w:val="000000"/>
          <w:sz w:val="18"/>
          <w:szCs w:val="18"/>
          <w:lang w:eastAsia="en-US"/>
        </w:rPr>
        <w:t xml:space="preserve">riteria </w:t>
      </w:r>
    </w:p>
    <w:p w14:paraId="678DAB8B"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Any person with at least one of the following six: </w:t>
      </w:r>
    </w:p>
    <w:p w14:paraId="40FAD0A2"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Urethritis </w:t>
      </w:r>
    </w:p>
    <w:p w14:paraId="7122A839"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Epididymitis </w:t>
      </w:r>
    </w:p>
    <w:p w14:paraId="599C7696"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Acute salpingitis </w:t>
      </w:r>
    </w:p>
    <w:p w14:paraId="627E3746"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Acute endometritis </w:t>
      </w:r>
    </w:p>
    <w:p w14:paraId="1F1B7004"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Cervicitis </w:t>
      </w:r>
    </w:p>
    <w:p w14:paraId="7AA51F65"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Proctitis </w:t>
      </w:r>
    </w:p>
    <w:p w14:paraId="2BB24CA5"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In newborn children at least one of the following two: </w:t>
      </w:r>
    </w:p>
    <w:p w14:paraId="72331F98"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Conjunctivitis </w:t>
      </w:r>
    </w:p>
    <w:p w14:paraId="2E4FF944"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Pneumonia </w:t>
      </w:r>
    </w:p>
    <w:p w14:paraId="4D1A60AC" w14:textId="77777777" w:rsidR="00F52848" w:rsidRPr="00D70CFB" w:rsidRDefault="00F52848" w:rsidP="00F52848">
      <w:pPr>
        <w:autoSpaceDE w:val="0"/>
        <w:autoSpaceDN w:val="0"/>
        <w:adjustRightInd w:val="0"/>
        <w:spacing w:before="60" w:after="60"/>
        <w:rPr>
          <w:rFonts w:eastAsiaTheme="minorHAnsi" w:cs="Tahoma"/>
          <w:i/>
          <w:iCs/>
          <w:color w:val="000000"/>
          <w:sz w:val="18"/>
          <w:szCs w:val="18"/>
          <w:lang w:eastAsia="en-US"/>
        </w:rPr>
      </w:pPr>
      <w:r w:rsidRPr="00D70CFB">
        <w:rPr>
          <w:rFonts w:eastAsiaTheme="minorHAnsi" w:cs="Tahoma"/>
          <w:b/>
          <w:bCs/>
          <w:color w:val="000000"/>
          <w:sz w:val="18"/>
          <w:szCs w:val="18"/>
          <w:lang w:eastAsia="en-US"/>
        </w:rPr>
        <w:t xml:space="preserve">Laboratory </w:t>
      </w:r>
      <w:r>
        <w:rPr>
          <w:rFonts w:eastAsiaTheme="minorHAnsi" w:cs="Tahoma"/>
          <w:b/>
          <w:bCs/>
          <w:color w:val="000000"/>
          <w:sz w:val="18"/>
          <w:szCs w:val="18"/>
          <w:lang w:eastAsia="en-US"/>
        </w:rPr>
        <w:t>c</w:t>
      </w:r>
      <w:r w:rsidRPr="00D70CFB">
        <w:rPr>
          <w:rFonts w:eastAsiaTheme="minorHAnsi" w:cs="Tahoma"/>
          <w:b/>
          <w:bCs/>
          <w:color w:val="000000"/>
          <w:sz w:val="18"/>
          <w:szCs w:val="18"/>
          <w:lang w:eastAsia="en-US"/>
        </w:rPr>
        <w:t xml:space="preserve">riteria </w:t>
      </w:r>
    </w:p>
    <w:p w14:paraId="07FB7E74"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At least one of the following three: </w:t>
      </w:r>
    </w:p>
    <w:p w14:paraId="562EE50E"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Isolation of </w:t>
      </w:r>
      <w:r w:rsidRPr="00D70CFB">
        <w:rPr>
          <w:rFonts w:eastAsiaTheme="minorHAnsi" w:cs="Tahoma"/>
          <w:i/>
          <w:iCs/>
          <w:color w:val="000000"/>
          <w:sz w:val="18"/>
          <w:szCs w:val="18"/>
          <w:lang w:eastAsia="en-US"/>
        </w:rPr>
        <w:t xml:space="preserve">Chlamydia trachomatis </w:t>
      </w:r>
      <w:r w:rsidRPr="00D70CFB">
        <w:rPr>
          <w:rFonts w:eastAsiaTheme="minorHAnsi" w:cs="Tahoma"/>
          <w:color w:val="000000"/>
          <w:sz w:val="18"/>
          <w:szCs w:val="18"/>
          <w:lang w:eastAsia="en-US"/>
        </w:rPr>
        <w:t xml:space="preserve">from a specimen of the </w:t>
      </w:r>
      <w:proofErr w:type="spellStart"/>
      <w:r w:rsidRPr="00D70CFB">
        <w:rPr>
          <w:rFonts w:eastAsiaTheme="minorHAnsi" w:cs="Tahoma"/>
          <w:color w:val="000000"/>
          <w:sz w:val="18"/>
          <w:szCs w:val="18"/>
          <w:lang w:eastAsia="en-US"/>
        </w:rPr>
        <w:t>ano</w:t>
      </w:r>
      <w:proofErr w:type="spellEnd"/>
      <w:r w:rsidRPr="00D70CFB">
        <w:rPr>
          <w:rFonts w:eastAsiaTheme="minorHAnsi" w:cs="Tahoma"/>
          <w:color w:val="000000"/>
          <w:sz w:val="18"/>
          <w:szCs w:val="18"/>
          <w:lang w:eastAsia="en-US"/>
        </w:rPr>
        <w:t xml:space="preserve">-genital tract or from the conjunctiva </w:t>
      </w:r>
    </w:p>
    <w:p w14:paraId="60163DC6"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Demonstration of </w:t>
      </w:r>
      <w:r w:rsidRPr="00D70CFB">
        <w:rPr>
          <w:rFonts w:eastAsiaTheme="minorHAnsi" w:cs="Tahoma"/>
          <w:i/>
          <w:iCs/>
          <w:color w:val="000000"/>
          <w:sz w:val="18"/>
          <w:szCs w:val="18"/>
          <w:lang w:eastAsia="en-US"/>
        </w:rPr>
        <w:t xml:space="preserve">Chlamydia trachomatis </w:t>
      </w:r>
      <w:r w:rsidRPr="00D70CFB">
        <w:rPr>
          <w:rFonts w:eastAsiaTheme="minorHAnsi" w:cs="Tahoma"/>
          <w:color w:val="000000"/>
          <w:sz w:val="18"/>
          <w:szCs w:val="18"/>
          <w:lang w:eastAsia="en-US"/>
        </w:rPr>
        <w:t xml:space="preserve">by DFA test in a clinical specimen </w:t>
      </w:r>
    </w:p>
    <w:p w14:paraId="504CC027"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 xml:space="preserve">— Detection of </w:t>
      </w:r>
      <w:r w:rsidRPr="00D70CFB">
        <w:rPr>
          <w:rFonts w:eastAsiaTheme="minorHAnsi" w:cs="Tahoma"/>
          <w:i/>
          <w:iCs/>
          <w:color w:val="000000"/>
          <w:sz w:val="18"/>
          <w:szCs w:val="18"/>
          <w:lang w:eastAsia="en-US"/>
        </w:rPr>
        <w:t xml:space="preserve">Chlamydia trachomatis </w:t>
      </w:r>
      <w:r w:rsidRPr="00D70CFB">
        <w:rPr>
          <w:rFonts w:eastAsiaTheme="minorHAnsi" w:cs="Tahoma"/>
          <w:color w:val="000000"/>
          <w:sz w:val="18"/>
          <w:szCs w:val="18"/>
          <w:lang w:eastAsia="en-US"/>
        </w:rPr>
        <w:t xml:space="preserve">nucleic acid in a clinical specimen </w:t>
      </w:r>
    </w:p>
    <w:p w14:paraId="2B746F3C" w14:textId="77777777" w:rsidR="00F52848" w:rsidRDefault="00F52848" w:rsidP="00F52848">
      <w:pPr>
        <w:autoSpaceDE w:val="0"/>
        <w:autoSpaceDN w:val="0"/>
        <w:adjustRightInd w:val="0"/>
        <w:spacing w:before="60" w:after="60"/>
        <w:rPr>
          <w:rFonts w:eastAsiaTheme="minorHAnsi" w:cs="Tahoma"/>
          <w:color w:val="000000"/>
          <w:sz w:val="18"/>
          <w:szCs w:val="18"/>
          <w:lang w:eastAsia="en-US"/>
        </w:rPr>
      </w:pPr>
      <w:r>
        <w:rPr>
          <w:rFonts w:eastAsiaTheme="minorHAnsi" w:cs="Tahoma"/>
          <w:b/>
          <w:bCs/>
          <w:color w:val="000000"/>
          <w:sz w:val="18"/>
          <w:szCs w:val="18"/>
          <w:lang w:eastAsia="en-US"/>
        </w:rPr>
        <w:t xml:space="preserve">Epidemiological criteria </w:t>
      </w:r>
    </w:p>
    <w:p w14:paraId="2CDC2D2F" w14:textId="77777777" w:rsidR="00F52848" w:rsidRPr="00D70CFB" w:rsidRDefault="00F52848" w:rsidP="00F52848">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An epidemiological link by human</w:t>
      </w:r>
      <w:r>
        <w:rPr>
          <w:rFonts w:eastAsiaTheme="minorHAnsi" w:cs="Tahoma"/>
          <w:color w:val="000000"/>
          <w:sz w:val="18"/>
          <w:szCs w:val="18"/>
          <w:lang w:eastAsia="en-US"/>
        </w:rPr>
        <w:t>-</w:t>
      </w:r>
      <w:r w:rsidRPr="00D70CFB">
        <w:rPr>
          <w:rFonts w:eastAsiaTheme="minorHAnsi" w:cs="Tahoma"/>
          <w:color w:val="000000"/>
          <w:sz w:val="18"/>
          <w:szCs w:val="18"/>
          <w:lang w:eastAsia="en-US"/>
        </w:rPr>
        <w:t>to</w:t>
      </w:r>
      <w:r>
        <w:rPr>
          <w:rFonts w:eastAsiaTheme="minorHAnsi" w:cs="Tahoma"/>
          <w:color w:val="000000"/>
          <w:sz w:val="18"/>
          <w:szCs w:val="18"/>
          <w:lang w:eastAsia="en-US"/>
        </w:rPr>
        <w:t>-</w:t>
      </w:r>
      <w:r w:rsidRPr="00D70CFB">
        <w:rPr>
          <w:rFonts w:eastAsiaTheme="minorHAnsi" w:cs="Tahoma"/>
          <w:color w:val="000000"/>
          <w:sz w:val="18"/>
          <w:szCs w:val="18"/>
          <w:lang w:eastAsia="en-US"/>
        </w:rPr>
        <w:t>human transmission (sexual contact or vertical transmission)</w:t>
      </w:r>
    </w:p>
    <w:p w14:paraId="15BE3C7E" w14:textId="77777777" w:rsidR="00F52848" w:rsidRDefault="00F52848" w:rsidP="00F52848">
      <w:pPr>
        <w:pStyle w:val="CM4"/>
        <w:spacing w:before="60" w:after="60"/>
        <w:rPr>
          <w:rFonts w:ascii="Tahoma" w:hAnsi="Tahoma" w:cs="Tahoma"/>
          <w:b/>
          <w:sz w:val="18"/>
          <w:szCs w:val="18"/>
        </w:rPr>
      </w:pPr>
    </w:p>
    <w:p w14:paraId="3E236E23" w14:textId="77777777" w:rsidR="00F52848" w:rsidRDefault="00F52848" w:rsidP="00F52848">
      <w:pPr>
        <w:pStyle w:val="CM4"/>
        <w:spacing w:before="60" w:after="60"/>
        <w:rPr>
          <w:rFonts w:ascii="Tahoma" w:hAnsi="Tahoma" w:cs="Tahoma"/>
          <w:color w:val="000000"/>
          <w:sz w:val="18"/>
          <w:szCs w:val="18"/>
        </w:rPr>
      </w:pPr>
      <w:r>
        <w:rPr>
          <w:rFonts w:ascii="Tahoma" w:hAnsi="Tahoma" w:cs="Tahoma"/>
          <w:b/>
          <w:sz w:val="18"/>
          <w:szCs w:val="18"/>
        </w:rPr>
        <w:t>Case classification</w:t>
      </w:r>
    </w:p>
    <w:p w14:paraId="70450FAD" w14:textId="77777777" w:rsidR="00F52848" w:rsidRDefault="00F52848" w:rsidP="00F52848">
      <w:pPr>
        <w:autoSpaceDE w:val="0"/>
        <w:autoSpaceDN w:val="0"/>
        <w:adjustRightInd w:val="0"/>
        <w:spacing w:before="60" w:after="60"/>
        <w:rPr>
          <w:rFonts w:eastAsiaTheme="minorHAnsi" w:cs="Tahoma"/>
          <w:color w:val="000000"/>
          <w:sz w:val="18"/>
          <w:szCs w:val="18"/>
          <w:lang w:eastAsia="en-US"/>
        </w:rPr>
      </w:pPr>
      <w:r>
        <w:rPr>
          <w:rFonts w:eastAsiaTheme="minorHAnsi" w:cs="Tahoma"/>
          <w:color w:val="000000"/>
          <w:sz w:val="18"/>
          <w:szCs w:val="18"/>
          <w:lang w:eastAsia="en-US"/>
        </w:rPr>
        <w:t>A. Probable case: Any person meeting the clinical criteria and with an epidemiological link</w:t>
      </w:r>
    </w:p>
    <w:p w14:paraId="24774D52" w14:textId="77777777" w:rsidR="00F52848" w:rsidRPr="00E01FA8" w:rsidRDefault="00F52848" w:rsidP="00F52848">
      <w:pPr>
        <w:autoSpaceDE w:val="0"/>
        <w:autoSpaceDN w:val="0"/>
        <w:adjustRightInd w:val="0"/>
        <w:spacing w:before="60" w:after="60"/>
        <w:rPr>
          <w:rFonts w:eastAsiaTheme="minorHAnsi" w:cs="Tahoma"/>
          <w:color w:val="000000"/>
          <w:sz w:val="18"/>
          <w:szCs w:val="18"/>
          <w:lang w:eastAsia="en-US"/>
        </w:rPr>
      </w:pPr>
      <w:r>
        <w:rPr>
          <w:rFonts w:eastAsiaTheme="minorHAnsi" w:cs="Tahoma"/>
          <w:color w:val="000000"/>
          <w:sz w:val="18"/>
          <w:szCs w:val="18"/>
          <w:lang w:eastAsia="en-US"/>
        </w:rPr>
        <w:t xml:space="preserve">B. </w:t>
      </w:r>
      <w:r>
        <w:rPr>
          <w:rFonts w:eastAsiaTheme="minorHAnsi" w:cs="Tahoma"/>
          <w:bCs/>
          <w:color w:val="000000"/>
          <w:sz w:val="18"/>
          <w:szCs w:val="18"/>
          <w:lang w:eastAsia="en-US"/>
        </w:rPr>
        <w:t xml:space="preserve">Confirmed case: </w:t>
      </w:r>
      <w:r>
        <w:rPr>
          <w:rFonts w:eastAsiaTheme="minorHAnsi" w:cs="Tahoma"/>
          <w:sz w:val="18"/>
          <w:szCs w:val="18"/>
          <w:lang w:eastAsia="en-US"/>
        </w:rPr>
        <w:t xml:space="preserve">Any person meeting the laboratory criteria </w:t>
      </w:r>
    </w:p>
    <w:p w14:paraId="0FDE04CE" w14:textId="77777777" w:rsidR="00F52848" w:rsidRPr="00452AF8" w:rsidRDefault="00F52848" w:rsidP="00F52848">
      <w:pPr>
        <w:pStyle w:val="EC-Title-6"/>
        <w:rPr>
          <w:rFonts w:cs="Tahoma"/>
          <w:b w:val="0"/>
        </w:rPr>
      </w:pPr>
      <w:bookmarkStart w:id="11" w:name="_Toc175577662"/>
      <w:r w:rsidRPr="00BD0ACE">
        <w:rPr>
          <w:rFonts w:cs="Tahoma"/>
          <w:b w:val="0"/>
        </w:rPr>
        <w:t>Data collection and analysis</w:t>
      </w:r>
      <w:bookmarkEnd w:id="11"/>
      <w:r w:rsidRPr="00BD0ACE">
        <w:rPr>
          <w:rFonts w:cs="Tahoma"/>
          <w:b w:val="0"/>
        </w:rPr>
        <w:t xml:space="preserve"> </w:t>
      </w:r>
    </w:p>
    <w:p w14:paraId="536B0749" w14:textId="03FAC53E" w:rsidR="00F52848" w:rsidRPr="005C4B53" w:rsidRDefault="00F52848" w:rsidP="00F52848">
      <w:pPr>
        <w:pStyle w:val="EC-Para"/>
        <w:spacing w:line="240" w:lineRule="auto"/>
        <w:jc w:val="both"/>
        <w:rPr>
          <w:rFonts w:cs="Tahoma"/>
        </w:rPr>
      </w:pPr>
      <w:r>
        <w:rPr>
          <w:rFonts w:cs="Tahoma"/>
        </w:rPr>
        <w:t xml:space="preserve">Data are collected on an annual basis. The Surveillance Atlas indicators are calculated for cases up to the end of </w:t>
      </w:r>
      <w:r w:rsidR="000D37D6">
        <w:rPr>
          <w:rFonts w:cs="Tahoma"/>
        </w:rPr>
        <w:t>2023</w:t>
      </w:r>
      <w:r>
        <w:rPr>
          <w:rFonts w:cs="Tahoma"/>
        </w:rPr>
        <w:t xml:space="preserve">. </w:t>
      </w:r>
      <w:r w:rsidRPr="007B34B1">
        <w:rPr>
          <w:rFonts w:cs="Tahoma"/>
        </w:rPr>
        <w:t>Prior to analys</w:t>
      </w:r>
      <w:r>
        <w:rPr>
          <w:rFonts w:cs="Tahoma"/>
        </w:rPr>
        <w:t>i</w:t>
      </w:r>
      <w:r w:rsidRPr="007B34B1">
        <w:rPr>
          <w:rFonts w:cs="Tahoma"/>
        </w:rPr>
        <w:t xml:space="preserve">s, data are validated with nominated data providers in each EU/EEA country. </w:t>
      </w:r>
      <w:r>
        <w:rPr>
          <w:rFonts w:cs="Tahoma"/>
        </w:rPr>
        <w:t>Data from countries with sentinel surveillance systems are excluded from</w:t>
      </w:r>
      <w:r>
        <w:t xml:space="preserve"> the calculation of notification rates. Country </w:t>
      </w:r>
      <w:r>
        <w:lastRenderedPageBreak/>
        <w:t>population denominators by age group and gender were obtained from Eurostat</w:t>
      </w:r>
      <w:r>
        <w:rPr>
          <w:rStyle w:val="FootnoteReference"/>
        </w:rPr>
        <w:footnoteReference w:id="3"/>
      </w:r>
      <w:r>
        <w:t xml:space="preserve"> for the calculation of notification rates.</w:t>
      </w:r>
      <w:r>
        <w:rPr>
          <w:rFonts w:cstheme="minorHAnsi"/>
        </w:rPr>
        <w:t xml:space="preserve"> Note that the data published in the Surveillance Atlas might differ from figures in national reports due to different times of reporting, inclusion of cases by </w:t>
      </w:r>
      <w:r w:rsidRPr="005C4B53">
        <w:rPr>
          <w:rFonts w:cstheme="minorHAnsi"/>
        </w:rPr>
        <w:t>different case definitions and use of different denominators.</w:t>
      </w:r>
    </w:p>
    <w:p w14:paraId="37C8F244" w14:textId="2313F2F7" w:rsidR="00F52848" w:rsidRPr="005622B8" w:rsidRDefault="00F52848" w:rsidP="00F52848">
      <w:pPr>
        <w:pStyle w:val="EC-Para"/>
        <w:jc w:val="both"/>
      </w:pPr>
      <w:r w:rsidRPr="005C4B53">
        <w:t>Indicators were not calculated for variables</w:t>
      </w:r>
      <w:r w:rsidR="007A540C">
        <w:t xml:space="preserve"> for which a </w:t>
      </w:r>
      <w:r w:rsidR="00D767FC">
        <w:t xml:space="preserve">threshold level of </w:t>
      </w:r>
      <w:r w:rsidR="007A540C">
        <w:t>completeness</w:t>
      </w:r>
      <w:r w:rsidRPr="005C4B53">
        <w:t xml:space="preserve"> for a given geographical resolution (e.g. country, EU/EEA) and </w:t>
      </w:r>
      <w:proofErr w:type="gramStart"/>
      <w:r w:rsidRPr="005C4B53">
        <w:t>time period</w:t>
      </w:r>
      <w:proofErr w:type="gramEnd"/>
      <w:r w:rsidR="007A540C">
        <w:t xml:space="preserve"> </w:t>
      </w:r>
      <w:r w:rsidR="00D767FC">
        <w:t>has</w:t>
      </w:r>
      <w:r w:rsidR="007A540C">
        <w:t xml:space="preserve"> not</w:t>
      </w:r>
      <w:r w:rsidR="00D767FC">
        <w:t xml:space="preserve"> been</w:t>
      </w:r>
      <w:r w:rsidR="007A540C">
        <w:t xml:space="preserve"> reached</w:t>
      </w:r>
      <w:r w:rsidRPr="005C4B53">
        <w:t xml:space="preserve">. </w:t>
      </w:r>
      <w:r w:rsidRPr="005C4B53">
        <w:rPr>
          <w:rFonts w:cs="Tahoma"/>
        </w:rPr>
        <w:t xml:space="preserve">Surveillance systems across the EU/EEA countries are heterogeneous and a surveillance systems overview is displayed </w:t>
      </w:r>
      <w:r w:rsidR="00C1552E" w:rsidRPr="005C4B53">
        <w:rPr>
          <w:rFonts w:cs="Tahoma"/>
        </w:rPr>
        <w:t>below</w:t>
      </w:r>
      <w:r w:rsidRPr="005C4B53">
        <w:rPr>
          <w:rFonts w:cs="Tahoma"/>
        </w:rPr>
        <w:t>.</w:t>
      </w:r>
    </w:p>
    <w:p w14:paraId="3302EDCD" w14:textId="77777777" w:rsidR="00F52848" w:rsidRPr="0072746F" w:rsidRDefault="00F52848" w:rsidP="00F52848">
      <w:pPr>
        <w:pStyle w:val="EC-Title-6"/>
        <w:rPr>
          <w:rFonts w:cs="Tahoma"/>
          <w:b w:val="0"/>
        </w:rPr>
      </w:pPr>
      <w:bookmarkStart w:id="12" w:name="_Toc175577663"/>
      <w:r w:rsidRPr="0072746F">
        <w:rPr>
          <w:rFonts w:cs="Tahoma"/>
          <w:b w:val="0"/>
        </w:rPr>
        <w:t>Surveillance Atlas indicators</w:t>
      </w:r>
      <w:bookmarkEnd w:id="12"/>
    </w:p>
    <w:p w14:paraId="126995CF" w14:textId="77777777" w:rsidR="00F52848" w:rsidRDefault="00F52848" w:rsidP="00F52848">
      <w:pPr>
        <w:pStyle w:val="EC-Para"/>
        <w:rPr>
          <w:rFonts w:cs="Tahoma"/>
        </w:rPr>
      </w:pPr>
      <w:r>
        <w:rPr>
          <w:rFonts w:cs="Tahoma"/>
        </w:rPr>
        <w:t xml:space="preserve">All Surveillance Atlas indicators for sexually transmitted infections are classified according to the “date of diagnosis”. If the “date of diagnosis” is not reported, the “date used for statistics” is used instead. </w:t>
      </w:r>
    </w:p>
    <w:p w14:paraId="77A4F2D9" w14:textId="77777777" w:rsidR="00F52848" w:rsidRPr="00FC6466" w:rsidRDefault="00F52848" w:rsidP="00F52848">
      <w:pPr>
        <w:pStyle w:val="EC-Para"/>
        <w:rPr>
          <w:rFonts w:cs="Tahoma"/>
        </w:rPr>
      </w:pPr>
      <w:r w:rsidRPr="00FC6466">
        <w:rPr>
          <w:rFonts w:cs="Tahoma"/>
        </w:rPr>
        <w:t xml:space="preserve">The Surveillance Atlas indicators for </w:t>
      </w:r>
      <w:r>
        <w:rPr>
          <w:rFonts w:cs="Tahoma"/>
        </w:rPr>
        <w:t>chlamydia infection</w:t>
      </w:r>
      <w:r w:rsidRPr="00FC6466">
        <w:rPr>
          <w:rFonts w:cs="Tahoma"/>
        </w:rPr>
        <w:t xml:space="preserve"> are:</w:t>
      </w:r>
    </w:p>
    <w:p w14:paraId="00762A1F" w14:textId="77777777" w:rsidR="00F52848" w:rsidRDefault="00F52848" w:rsidP="00F52848">
      <w:pPr>
        <w:pStyle w:val="EC-Para"/>
        <w:numPr>
          <w:ilvl w:val="0"/>
          <w:numId w:val="1"/>
        </w:numPr>
        <w:spacing w:after="0"/>
        <w:rPr>
          <w:rFonts w:cs="Tahoma"/>
        </w:rPr>
      </w:pPr>
      <w:r w:rsidRPr="00FC6466">
        <w:rPr>
          <w:rFonts w:cs="Tahoma"/>
        </w:rPr>
        <w:t xml:space="preserve">Notification rate per 100 000 </w:t>
      </w:r>
      <w:proofErr w:type="gramStart"/>
      <w:r w:rsidRPr="00FC6466">
        <w:rPr>
          <w:rFonts w:cs="Tahoma"/>
        </w:rPr>
        <w:t>population</w:t>
      </w:r>
      <w:r>
        <w:rPr>
          <w:rFonts w:cs="Tahoma"/>
        </w:rPr>
        <w:t>;</w:t>
      </w:r>
      <w:proofErr w:type="gramEnd"/>
    </w:p>
    <w:p w14:paraId="503AA7D9" w14:textId="77777777" w:rsidR="00F52848" w:rsidRPr="00FC6466" w:rsidRDefault="00F52848" w:rsidP="00F52848">
      <w:pPr>
        <w:pStyle w:val="EC-Para"/>
        <w:numPr>
          <w:ilvl w:val="0"/>
          <w:numId w:val="1"/>
        </w:numPr>
        <w:spacing w:after="0"/>
        <w:rPr>
          <w:rFonts w:cs="Tahoma"/>
        </w:rPr>
      </w:pPr>
      <w:r>
        <w:rPr>
          <w:rFonts w:cs="Tahoma"/>
        </w:rPr>
        <w:t>Age-standardised rate per 100 000 population.</w:t>
      </w:r>
    </w:p>
    <w:p w14:paraId="75461FB3" w14:textId="77777777" w:rsidR="00F52848" w:rsidRPr="00FC6466" w:rsidRDefault="00F52848" w:rsidP="00F52848">
      <w:pPr>
        <w:pStyle w:val="EC-Para"/>
        <w:spacing w:after="0"/>
        <w:ind w:left="720"/>
        <w:rPr>
          <w:rFonts w:cs="Tahoma"/>
        </w:rPr>
      </w:pPr>
    </w:p>
    <w:p w14:paraId="1E3B029A" w14:textId="77777777" w:rsidR="00F52848" w:rsidRPr="00FC6466" w:rsidRDefault="00F52848" w:rsidP="00F52848">
      <w:pPr>
        <w:pStyle w:val="EC-Para"/>
        <w:spacing w:after="0"/>
        <w:rPr>
          <w:rFonts w:cs="Tahoma"/>
        </w:rPr>
      </w:pPr>
      <w:r w:rsidRPr="00FC6466">
        <w:rPr>
          <w:rFonts w:cs="Tahoma"/>
        </w:rPr>
        <w:t>The indicators are available for the following populations:</w:t>
      </w:r>
    </w:p>
    <w:p w14:paraId="58DF8910" w14:textId="77777777" w:rsidR="00F52848" w:rsidRPr="00FC6466" w:rsidRDefault="00F52848" w:rsidP="00F52848">
      <w:pPr>
        <w:pStyle w:val="EC-Para"/>
        <w:numPr>
          <w:ilvl w:val="0"/>
          <w:numId w:val="2"/>
        </w:numPr>
        <w:spacing w:after="0"/>
        <w:ind w:left="709" w:hanging="283"/>
        <w:rPr>
          <w:rFonts w:cs="Tahoma"/>
        </w:rPr>
      </w:pPr>
      <w:r>
        <w:rPr>
          <w:rFonts w:cs="Tahoma"/>
        </w:rPr>
        <w:t>C</w:t>
      </w:r>
      <w:r w:rsidRPr="00FC6466">
        <w:rPr>
          <w:rFonts w:cs="Tahoma"/>
        </w:rPr>
        <w:t xml:space="preserve">onfirmed </w:t>
      </w:r>
      <w:proofErr w:type="gramStart"/>
      <w:r w:rsidRPr="00FC6466">
        <w:rPr>
          <w:rFonts w:cs="Tahoma"/>
        </w:rPr>
        <w:t>cases</w:t>
      </w:r>
      <w:r>
        <w:rPr>
          <w:rFonts w:cs="Tahoma"/>
        </w:rPr>
        <w:t>;</w:t>
      </w:r>
      <w:proofErr w:type="gramEnd"/>
    </w:p>
    <w:p w14:paraId="129A10B8" w14:textId="77777777" w:rsidR="00F52848" w:rsidRPr="00FC6466" w:rsidRDefault="00F52848" w:rsidP="00F52848">
      <w:pPr>
        <w:pStyle w:val="EC-Para"/>
        <w:numPr>
          <w:ilvl w:val="0"/>
          <w:numId w:val="2"/>
        </w:numPr>
        <w:spacing w:after="0"/>
        <w:ind w:left="709" w:hanging="283"/>
        <w:rPr>
          <w:rFonts w:cs="Tahoma"/>
        </w:rPr>
      </w:pPr>
      <w:r w:rsidRPr="00FC6466">
        <w:rPr>
          <w:rFonts w:cs="Tahoma"/>
        </w:rPr>
        <w:t xml:space="preserve">Young adults (age 15-24 years), confirmed </w:t>
      </w:r>
      <w:proofErr w:type="gramStart"/>
      <w:r w:rsidRPr="00FC6466">
        <w:rPr>
          <w:rFonts w:cs="Tahoma"/>
        </w:rPr>
        <w:t>cases</w:t>
      </w:r>
      <w:r>
        <w:rPr>
          <w:rFonts w:cs="Tahoma"/>
        </w:rPr>
        <w:t>;</w:t>
      </w:r>
      <w:proofErr w:type="gramEnd"/>
      <w:r w:rsidRPr="00FC6466" w:rsidDel="008A2943">
        <w:rPr>
          <w:rFonts w:cs="Tahoma"/>
        </w:rPr>
        <w:t xml:space="preserve"> </w:t>
      </w:r>
    </w:p>
    <w:p w14:paraId="3B801785" w14:textId="77777777" w:rsidR="00F52848" w:rsidRPr="00FC6466" w:rsidRDefault="00F52848" w:rsidP="00F52848">
      <w:pPr>
        <w:pStyle w:val="EC-Para"/>
        <w:numPr>
          <w:ilvl w:val="0"/>
          <w:numId w:val="2"/>
        </w:numPr>
        <w:spacing w:after="0"/>
        <w:ind w:left="709" w:hanging="283"/>
        <w:rPr>
          <w:rFonts w:cs="Tahoma"/>
        </w:rPr>
      </w:pPr>
      <w:r w:rsidRPr="00FC6466">
        <w:rPr>
          <w:rFonts w:cs="Tahoma"/>
        </w:rPr>
        <w:t>Men who have sex with men, confirmed cases</w:t>
      </w:r>
      <w:r>
        <w:rPr>
          <w:rFonts w:cs="Tahoma"/>
        </w:rPr>
        <w:t>. Notification rates for men who have sex with men are calculated per 100 000 men as individual country denominators are not available.</w:t>
      </w:r>
    </w:p>
    <w:p w14:paraId="3C131764" w14:textId="77777777" w:rsidR="00F52848" w:rsidRPr="008A2943" w:rsidRDefault="00F52848" w:rsidP="00F52848">
      <w:pPr>
        <w:pStyle w:val="EC-Para"/>
        <w:spacing w:after="0"/>
        <w:rPr>
          <w:rFonts w:cs="Tahoma"/>
          <w:highlight w:val="yellow"/>
        </w:rPr>
      </w:pPr>
    </w:p>
    <w:p w14:paraId="43753B82" w14:textId="77777777" w:rsidR="00F52848" w:rsidRDefault="00F52848" w:rsidP="00F52848">
      <w:pPr>
        <w:autoSpaceDE w:val="0"/>
        <w:autoSpaceDN w:val="0"/>
        <w:spacing w:line="200" w:lineRule="atLeast"/>
        <w:rPr>
          <w:rFonts w:ascii="Calibri" w:eastAsiaTheme="minorHAnsi" w:hAnsi="Calibri"/>
          <w:sz w:val="18"/>
          <w:szCs w:val="18"/>
          <w:lang w:eastAsia="en-US"/>
        </w:rPr>
      </w:pPr>
      <w:r>
        <w:rPr>
          <w:sz w:val="18"/>
          <w:szCs w:val="18"/>
        </w:rPr>
        <w:t xml:space="preserve">For </w:t>
      </w:r>
      <w:r>
        <w:rPr>
          <w:sz w:val="18"/>
          <w:szCs w:val="18"/>
          <w:u w:val="single"/>
        </w:rPr>
        <w:t>notification rate indicators</w:t>
      </w:r>
      <w:r>
        <w:rPr>
          <w:sz w:val="18"/>
          <w:szCs w:val="18"/>
        </w:rPr>
        <w:t xml:space="preserve">, the data may be displayed in a bar chart as:  </w:t>
      </w:r>
    </w:p>
    <w:p w14:paraId="0378BE73" w14:textId="540ACA50" w:rsidR="00F52848" w:rsidRDefault="00F52848" w:rsidP="00F52848">
      <w:pPr>
        <w:numPr>
          <w:ilvl w:val="0"/>
          <w:numId w:val="4"/>
        </w:numPr>
        <w:autoSpaceDE w:val="0"/>
        <w:autoSpaceDN w:val="0"/>
        <w:spacing w:line="200" w:lineRule="atLeast"/>
        <w:rPr>
          <w:sz w:val="18"/>
          <w:szCs w:val="18"/>
        </w:rPr>
      </w:pPr>
      <w:r>
        <w:rPr>
          <w:sz w:val="18"/>
          <w:szCs w:val="18"/>
        </w:rPr>
        <w:t xml:space="preserve">Age-specific notification rate </w:t>
      </w:r>
      <w:r>
        <w:rPr>
          <w:rFonts w:eastAsia="Arial Unicode MS" w:cs="Tahoma"/>
          <w:kern w:val="22"/>
          <w:sz w:val="18"/>
          <w:szCs w:val="18"/>
        </w:rPr>
        <w:t>(0-</w:t>
      </w:r>
      <w:r w:rsidRPr="007B34B1">
        <w:rPr>
          <w:rFonts w:eastAsia="Arial Unicode MS" w:cs="Tahoma"/>
          <w:kern w:val="22"/>
          <w:sz w:val="18"/>
          <w:szCs w:val="18"/>
        </w:rPr>
        <w:t>14, 15-</w:t>
      </w:r>
      <w:r w:rsidR="00275271">
        <w:rPr>
          <w:rFonts w:eastAsia="Arial Unicode MS" w:cs="Tahoma"/>
          <w:kern w:val="22"/>
          <w:sz w:val="18"/>
          <w:szCs w:val="18"/>
        </w:rPr>
        <w:t>24</w:t>
      </w:r>
      <w:r w:rsidRPr="007B34B1">
        <w:rPr>
          <w:rFonts w:eastAsia="Arial Unicode MS" w:cs="Tahoma"/>
          <w:kern w:val="22"/>
          <w:sz w:val="18"/>
          <w:szCs w:val="18"/>
        </w:rPr>
        <w:t xml:space="preserve">, </w:t>
      </w:r>
      <w:r>
        <w:rPr>
          <w:rFonts w:eastAsia="Arial Unicode MS" w:cs="Tahoma"/>
          <w:kern w:val="22"/>
          <w:sz w:val="18"/>
          <w:szCs w:val="18"/>
        </w:rPr>
        <w:t>2</w:t>
      </w:r>
      <w:r w:rsidRPr="007B34B1">
        <w:rPr>
          <w:rFonts w:eastAsia="Arial Unicode MS" w:cs="Tahoma"/>
          <w:kern w:val="22"/>
          <w:sz w:val="18"/>
          <w:szCs w:val="18"/>
        </w:rPr>
        <w:t>5-</w:t>
      </w:r>
      <w:r>
        <w:rPr>
          <w:rFonts w:eastAsia="Arial Unicode MS" w:cs="Tahoma"/>
          <w:kern w:val="22"/>
          <w:sz w:val="18"/>
          <w:szCs w:val="18"/>
        </w:rPr>
        <w:t>3</w:t>
      </w:r>
      <w:r w:rsidRPr="007B34B1">
        <w:rPr>
          <w:rFonts w:eastAsia="Arial Unicode MS" w:cs="Tahoma"/>
          <w:kern w:val="22"/>
          <w:sz w:val="18"/>
          <w:szCs w:val="18"/>
        </w:rPr>
        <w:t xml:space="preserve">4, </w:t>
      </w:r>
      <w:r>
        <w:rPr>
          <w:rFonts w:eastAsia="Arial Unicode MS" w:cs="Tahoma"/>
          <w:kern w:val="22"/>
          <w:sz w:val="18"/>
          <w:szCs w:val="18"/>
        </w:rPr>
        <w:t>35-44, 45</w:t>
      </w:r>
      <w:r w:rsidRPr="007B34B1">
        <w:rPr>
          <w:rFonts w:eastAsia="Arial Unicode MS" w:cs="Tahoma"/>
          <w:kern w:val="22"/>
          <w:sz w:val="18"/>
          <w:szCs w:val="18"/>
        </w:rPr>
        <w:t xml:space="preserve"> years and above</w:t>
      </w:r>
      <w:proofErr w:type="gramStart"/>
      <w:r w:rsidRPr="007B34B1">
        <w:rPr>
          <w:rFonts w:eastAsia="Arial Unicode MS" w:cs="Tahoma"/>
          <w:kern w:val="22"/>
          <w:sz w:val="18"/>
          <w:szCs w:val="18"/>
        </w:rPr>
        <w:t>);</w:t>
      </w:r>
      <w:proofErr w:type="gramEnd"/>
    </w:p>
    <w:p w14:paraId="4A2EFB8C" w14:textId="77777777" w:rsidR="00F52848" w:rsidRDefault="00F52848" w:rsidP="00F52848">
      <w:pPr>
        <w:numPr>
          <w:ilvl w:val="0"/>
          <w:numId w:val="4"/>
        </w:numPr>
        <w:autoSpaceDE w:val="0"/>
        <w:autoSpaceDN w:val="0"/>
        <w:spacing w:line="200" w:lineRule="atLeast"/>
        <w:rPr>
          <w:sz w:val="18"/>
          <w:szCs w:val="18"/>
        </w:rPr>
      </w:pPr>
      <w:r>
        <w:rPr>
          <w:sz w:val="18"/>
          <w:szCs w:val="18"/>
        </w:rPr>
        <w:t>Gender-specific notification rate.</w:t>
      </w:r>
    </w:p>
    <w:p w14:paraId="0775056D" w14:textId="77777777" w:rsidR="00F52848" w:rsidRDefault="00F52848" w:rsidP="00F52848">
      <w:pPr>
        <w:autoSpaceDE w:val="0"/>
        <w:autoSpaceDN w:val="0"/>
        <w:spacing w:line="200" w:lineRule="atLeast"/>
        <w:rPr>
          <w:sz w:val="18"/>
          <w:szCs w:val="18"/>
        </w:rPr>
      </w:pPr>
    </w:p>
    <w:p w14:paraId="2F5DD8BA" w14:textId="77777777" w:rsidR="00F52848" w:rsidRDefault="00F52848" w:rsidP="00F52848">
      <w:pPr>
        <w:autoSpaceDE w:val="0"/>
        <w:autoSpaceDN w:val="0"/>
        <w:spacing w:line="200" w:lineRule="atLeast"/>
        <w:rPr>
          <w:sz w:val="18"/>
          <w:szCs w:val="18"/>
        </w:rPr>
      </w:pPr>
      <w:r>
        <w:rPr>
          <w:sz w:val="18"/>
          <w:szCs w:val="18"/>
        </w:rPr>
        <w:t xml:space="preserve">For </w:t>
      </w:r>
      <w:r>
        <w:rPr>
          <w:sz w:val="18"/>
          <w:szCs w:val="18"/>
          <w:u w:val="single"/>
        </w:rPr>
        <w:t>all other indicators</w:t>
      </w:r>
      <w:r>
        <w:rPr>
          <w:sz w:val="18"/>
          <w:szCs w:val="18"/>
        </w:rPr>
        <w:t xml:space="preserve">, the data may be displayed in a bar chart or a pie chart by proportion of:  </w:t>
      </w:r>
    </w:p>
    <w:p w14:paraId="3E501EE7" w14:textId="424CDEBF" w:rsidR="00F52848" w:rsidRDefault="00F52848" w:rsidP="00F52848">
      <w:pPr>
        <w:numPr>
          <w:ilvl w:val="0"/>
          <w:numId w:val="4"/>
        </w:numPr>
        <w:autoSpaceDE w:val="0"/>
        <w:autoSpaceDN w:val="0"/>
        <w:spacing w:line="200" w:lineRule="atLeast"/>
        <w:rPr>
          <w:sz w:val="18"/>
          <w:szCs w:val="18"/>
        </w:rPr>
      </w:pPr>
      <w:r>
        <w:rPr>
          <w:sz w:val="18"/>
          <w:szCs w:val="18"/>
        </w:rPr>
        <w:t xml:space="preserve">Age groups </w:t>
      </w:r>
      <w:r>
        <w:rPr>
          <w:rFonts w:eastAsia="Arial Unicode MS" w:cs="Tahoma"/>
          <w:kern w:val="22"/>
          <w:sz w:val="18"/>
          <w:szCs w:val="18"/>
        </w:rPr>
        <w:t>(0-</w:t>
      </w:r>
      <w:r w:rsidRPr="007B34B1">
        <w:rPr>
          <w:rFonts w:eastAsia="Arial Unicode MS" w:cs="Tahoma"/>
          <w:kern w:val="22"/>
          <w:sz w:val="18"/>
          <w:szCs w:val="18"/>
        </w:rPr>
        <w:t>14, 15-</w:t>
      </w:r>
      <w:r>
        <w:rPr>
          <w:rFonts w:eastAsia="Arial Unicode MS" w:cs="Tahoma"/>
          <w:kern w:val="22"/>
          <w:sz w:val="18"/>
          <w:szCs w:val="18"/>
        </w:rPr>
        <w:t>24</w:t>
      </w:r>
      <w:r w:rsidRPr="007B34B1">
        <w:rPr>
          <w:rFonts w:eastAsia="Arial Unicode MS" w:cs="Tahoma"/>
          <w:kern w:val="22"/>
          <w:sz w:val="18"/>
          <w:szCs w:val="18"/>
        </w:rPr>
        <w:t xml:space="preserve">, </w:t>
      </w:r>
      <w:r>
        <w:rPr>
          <w:rFonts w:eastAsia="Arial Unicode MS" w:cs="Tahoma"/>
          <w:kern w:val="22"/>
          <w:sz w:val="18"/>
          <w:szCs w:val="18"/>
        </w:rPr>
        <w:t>2</w:t>
      </w:r>
      <w:r w:rsidRPr="007B34B1">
        <w:rPr>
          <w:rFonts w:eastAsia="Arial Unicode MS" w:cs="Tahoma"/>
          <w:kern w:val="22"/>
          <w:sz w:val="18"/>
          <w:szCs w:val="18"/>
        </w:rPr>
        <w:t>5-</w:t>
      </w:r>
      <w:r>
        <w:rPr>
          <w:rFonts w:eastAsia="Arial Unicode MS" w:cs="Tahoma"/>
          <w:kern w:val="22"/>
          <w:sz w:val="18"/>
          <w:szCs w:val="18"/>
        </w:rPr>
        <w:t>3</w:t>
      </w:r>
      <w:r w:rsidRPr="007B34B1">
        <w:rPr>
          <w:rFonts w:eastAsia="Arial Unicode MS" w:cs="Tahoma"/>
          <w:kern w:val="22"/>
          <w:sz w:val="18"/>
          <w:szCs w:val="18"/>
        </w:rPr>
        <w:t xml:space="preserve">4, </w:t>
      </w:r>
      <w:r>
        <w:rPr>
          <w:rFonts w:eastAsia="Arial Unicode MS" w:cs="Tahoma"/>
          <w:kern w:val="22"/>
          <w:sz w:val="18"/>
          <w:szCs w:val="18"/>
        </w:rPr>
        <w:t>35-44, 45</w:t>
      </w:r>
      <w:r w:rsidRPr="007B34B1">
        <w:rPr>
          <w:rFonts w:eastAsia="Arial Unicode MS" w:cs="Tahoma"/>
          <w:kern w:val="22"/>
          <w:sz w:val="18"/>
          <w:szCs w:val="18"/>
        </w:rPr>
        <w:t xml:space="preserve"> years and above</w:t>
      </w:r>
      <w:proofErr w:type="gramStart"/>
      <w:r w:rsidRPr="007B34B1">
        <w:rPr>
          <w:rFonts w:eastAsia="Arial Unicode MS" w:cs="Tahoma"/>
          <w:kern w:val="22"/>
          <w:sz w:val="18"/>
          <w:szCs w:val="18"/>
        </w:rPr>
        <w:t>);</w:t>
      </w:r>
      <w:proofErr w:type="gramEnd"/>
    </w:p>
    <w:p w14:paraId="22BE5AC3" w14:textId="77777777" w:rsidR="00F52848" w:rsidRPr="0081694C" w:rsidRDefault="00F52848" w:rsidP="00F52848">
      <w:pPr>
        <w:numPr>
          <w:ilvl w:val="0"/>
          <w:numId w:val="4"/>
        </w:numPr>
        <w:autoSpaceDE w:val="0"/>
        <w:autoSpaceDN w:val="0"/>
        <w:spacing w:line="200" w:lineRule="atLeast"/>
        <w:rPr>
          <w:sz w:val="18"/>
          <w:szCs w:val="18"/>
        </w:rPr>
      </w:pPr>
      <w:proofErr w:type="gramStart"/>
      <w:r>
        <w:rPr>
          <w:sz w:val="18"/>
          <w:szCs w:val="18"/>
        </w:rPr>
        <w:t>Gender;</w:t>
      </w:r>
      <w:proofErr w:type="gramEnd"/>
    </w:p>
    <w:p w14:paraId="7BACB251" w14:textId="77777777" w:rsidR="00F52848" w:rsidRPr="001B5300" w:rsidRDefault="00F52848" w:rsidP="00F52848">
      <w:pPr>
        <w:pStyle w:val="ListParagraph"/>
        <w:numPr>
          <w:ilvl w:val="0"/>
          <w:numId w:val="8"/>
        </w:numPr>
        <w:autoSpaceDE w:val="0"/>
        <w:autoSpaceDN w:val="0"/>
        <w:spacing w:after="0" w:line="200" w:lineRule="exact"/>
        <w:rPr>
          <w:sz w:val="18"/>
          <w:szCs w:val="18"/>
          <w:lang w:eastAsia="ko-KR"/>
        </w:rPr>
      </w:pPr>
      <w:r>
        <w:rPr>
          <w:rFonts w:eastAsia="Arial Unicode MS" w:cs="Tahoma"/>
          <w:kern w:val="22"/>
          <w:sz w:val="18"/>
          <w:szCs w:val="18"/>
        </w:rPr>
        <w:t xml:space="preserve">Transmission </w:t>
      </w:r>
      <w:proofErr w:type="gramStart"/>
      <w:r>
        <w:rPr>
          <w:rFonts w:eastAsia="Arial Unicode MS" w:cs="Tahoma"/>
          <w:kern w:val="22"/>
          <w:sz w:val="18"/>
          <w:szCs w:val="18"/>
        </w:rPr>
        <w:t>category;</w:t>
      </w:r>
      <w:proofErr w:type="gramEnd"/>
    </w:p>
    <w:p w14:paraId="2B41D892" w14:textId="77777777" w:rsidR="00F52848" w:rsidRPr="00FC6466" w:rsidRDefault="00F52848" w:rsidP="00F52848">
      <w:pPr>
        <w:pStyle w:val="ListParagraph"/>
        <w:numPr>
          <w:ilvl w:val="0"/>
          <w:numId w:val="8"/>
        </w:numPr>
        <w:autoSpaceDE w:val="0"/>
        <w:autoSpaceDN w:val="0"/>
        <w:spacing w:after="0" w:line="200" w:lineRule="exact"/>
        <w:rPr>
          <w:sz w:val="18"/>
          <w:szCs w:val="18"/>
          <w:lang w:eastAsia="ko-KR"/>
        </w:rPr>
      </w:pPr>
      <w:r>
        <w:rPr>
          <w:rFonts w:eastAsia="Arial Unicode MS" w:cs="Tahoma"/>
          <w:kern w:val="22"/>
          <w:sz w:val="18"/>
          <w:szCs w:val="18"/>
        </w:rPr>
        <w:t>Site of infection.</w:t>
      </w:r>
    </w:p>
    <w:p w14:paraId="181E185B" w14:textId="77777777" w:rsidR="00F52848" w:rsidRDefault="00F52848" w:rsidP="00F52848">
      <w:pPr>
        <w:pStyle w:val="EC-Title-6"/>
        <w:rPr>
          <w:rFonts w:eastAsia="Arial Unicode MS"/>
          <w:b w:val="0"/>
          <w:bCs w:val="0"/>
          <w:color w:val="auto"/>
          <w:kern w:val="22"/>
          <w:sz w:val="18"/>
          <w:szCs w:val="18"/>
        </w:rPr>
      </w:pPr>
      <w:bookmarkStart w:id="13" w:name="_Toc175577664"/>
      <w:r>
        <w:rPr>
          <w:rFonts w:eastAsia="Arial Unicode MS"/>
          <w:b w:val="0"/>
          <w:bCs w:val="0"/>
          <w:color w:val="auto"/>
          <w:kern w:val="22"/>
          <w:sz w:val="18"/>
          <w:szCs w:val="18"/>
        </w:rPr>
        <w:t>Symbols used in the Surveillance Atlas table:</w:t>
      </w:r>
      <w:bookmarkEnd w:id="13"/>
      <w:r>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F52848" w14:paraId="52701A37" w14:textId="77777777" w:rsidTr="006C62E2">
        <w:tc>
          <w:tcPr>
            <w:tcW w:w="1101" w:type="dxa"/>
            <w:tcBorders>
              <w:top w:val="single" w:sz="4" w:space="0" w:color="000000"/>
              <w:left w:val="single" w:sz="4" w:space="0" w:color="000000"/>
              <w:bottom w:val="single" w:sz="4" w:space="0" w:color="000000"/>
              <w:right w:val="single" w:sz="4" w:space="0" w:color="000000"/>
            </w:tcBorders>
            <w:hideMark/>
          </w:tcPr>
          <w:p w14:paraId="55992131" w14:textId="77777777" w:rsidR="00F52848" w:rsidRDefault="00F52848" w:rsidP="006C62E2">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6E9B2F3D" w14:textId="77777777" w:rsidR="00F52848" w:rsidRDefault="00F52848" w:rsidP="006C62E2">
            <w:pPr>
              <w:pStyle w:val="EC-Para"/>
              <w:rPr>
                <w:lang w:eastAsia="en-US"/>
              </w:rPr>
            </w:pPr>
            <w:r>
              <w:rPr>
                <w:lang w:eastAsia="en-US"/>
              </w:rPr>
              <w:t>Comment</w:t>
            </w:r>
          </w:p>
        </w:tc>
      </w:tr>
      <w:tr w:rsidR="00F52848" w14:paraId="74DCED52" w14:textId="77777777" w:rsidTr="006C62E2">
        <w:tc>
          <w:tcPr>
            <w:tcW w:w="1101" w:type="dxa"/>
            <w:tcBorders>
              <w:top w:val="single" w:sz="4" w:space="0" w:color="000000"/>
              <w:left w:val="single" w:sz="4" w:space="0" w:color="000000"/>
              <w:bottom w:val="single" w:sz="4" w:space="0" w:color="000000"/>
              <w:right w:val="single" w:sz="4" w:space="0" w:color="000000"/>
            </w:tcBorders>
            <w:hideMark/>
          </w:tcPr>
          <w:p w14:paraId="31AA8EEA" w14:textId="77777777" w:rsidR="00F52848" w:rsidRDefault="00F52848" w:rsidP="006C62E2">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739862A" w14:textId="77777777" w:rsidR="00F52848" w:rsidRDefault="00F52848" w:rsidP="006C62E2">
            <w:pPr>
              <w:pStyle w:val="EC-Para"/>
              <w:rPr>
                <w:lang w:eastAsia="en-US"/>
              </w:rPr>
            </w:pPr>
            <w:r>
              <w:rPr>
                <w:lang w:eastAsia="en-US"/>
              </w:rPr>
              <w:t>Indicator is not calculated for a given</w:t>
            </w:r>
            <w:r w:rsidDel="00D4008E">
              <w:rPr>
                <w:lang w:eastAsia="en-US"/>
              </w:rPr>
              <w:t xml:space="preserve"> </w:t>
            </w:r>
            <w:r>
              <w:rPr>
                <w:lang w:eastAsia="en-US"/>
              </w:rPr>
              <w:t xml:space="preserve">geographical resolution and </w:t>
            </w:r>
            <w:proofErr w:type="gramStart"/>
            <w:r>
              <w:rPr>
                <w:lang w:eastAsia="en-US"/>
              </w:rPr>
              <w:t>time period</w:t>
            </w:r>
            <w:proofErr w:type="gramEnd"/>
            <w:r>
              <w:rPr>
                <w:lang w:eastAsia="en-US"/>
              </w:rPr>
              <w:t>.</w:t>
            </w:r>
          </w:p>
        </w:tc>
      </w:tr>
      <w:tr w:rsidR="00F52848" w14:paraId="3DA2D3D2" w14:textId="77777777" w:rsidTr="006C62E2">
        <w:tc>
          <w:tcPr>
            <w:tcW w:w="1101" w:type="dxa"/>
            <w:tcBorders>
              <w:top w:val="single" w:sz="4" w:space="0" w:color="000000"/>
              <w:left w:val="single" w:sz="4" w:space="0" w:color="000000"/>
              <w:bottom w:val="single" w:sz="4" w:space="0" w:color="000000"/>
              <w:right w:val="single" w:sz="4" w:space="0" w:color="000000"/>
            </w:tcBorders>
            <w:hideMark/>
          </w:tcPr>
          <w:p w14:paraId="5A894A90" w14:textId="77777777" w:rsidR="00F52848" w:rsidRDefault="00F52848" w:rsidP="006C62E2">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FFE662E" w14:textId="77777777" w:rsidR="00F52848" w:rsidRDefault="00F52848" w:rsidP="006C62E2">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w:t>
            </w:r>
            <w:r w:rsidDel="00D4008E">
              <w:rPr>
                <w:lang w:eastAsia="en-US"/>
              </w:rPr>
              <w:t xml:space="preserve"> </w:t>
            </w:r>
            <w:proofErr w:type="gramStart"/>
            <w:r>
              <w:rPr>
                <w:lang w:eastAsia="en-US"/>
              </w:rPr>
              <w:t>time period</w:t>
            </w:r>
            <w:proofErr w:type="gramEnd"/>
            <w:r>
              <w:rPr>
                <w:lang w:eastAsia="en-US"/>
              </w:rPr>
              <w:t>.</w:t>
            </w:r>
          </w:p>
        </w:tc>
      </w:tr>
    </w:tbl>
    <w:p w14:paraId="2AA4E25A" w14:textId="77777777" w:rsidR="00F52848" w:rsidRDefault="00F52848" w:rsidP="00F52848">
      <w:pPr>
        <w:pStyle w:val="EC-Para"/>
        <w:rPr>
          <w:lang w:eastAsia="en-US"/>
        </w:rPr>
      </w:pPr>
    </w:p>
    <w:p w14:paraId="128C5FFA" w14:textId="77777777" w:rsidR="00F52848" w:rsidRPr="0072746F" w:rsidRDefault="00F52848" w:rsidP="00F52848">
      <w:pPr>
        <w:pStyle w:val="EC-Title-6"/>
        <w:rPr>
          <w:rFonts w:cs="Tahoma"/>
          <w:b w:val="0"/>
        </w:rPr>
      </w:pPr>
      <w:bookmarkStart w:id="14" w:name="_Toc175577665"/>
      <w:r w:rsidRPr="0072746F">
        <w:rPr>
          <w:rFonts w:cs="Tahoma"/>
          <w:b w:val="0"/>
        </w:rPr>
        <w:t>Data quality</w:t>
      </w:r>
      <w:bookmarkEnd w:id="14"/>
    </w:p>
    <w:p w14:paraId="2E4AC606" w14:textId="0753F26F" w:rsidR="00F52848" w:rsidRDefault="00F52848" w:rsidP="00F52848">
      <w:pPr>
        <w:shd w:val="clear" w:color="auto" w:fill="FFFFFF"/>
        <w:jc w:val="both"/>
        <w:rPr>
          <w:rFonts w:eastAsia="Times New Roman" w:cs="Tahoma"/>
          <w:color w:val="333333"/>
          <w:sz w:val="18"/>
          <w:szCs w:val="18"/>
          <w:lang w:eastAsia="en-GB"/>
        </w:rPr>
      </w:pPr>
      <w:r w:rsidRPr="00FE2272">
        <w:rPr>
          <w:rFonts w:eastAsia="Times New Roman" w:cs="Tahoma"/>
          <w:color w:val="333333"/>
          <w:sz w:val="18"/>
          <w:szCs w:val="18"/>
          <w:lang w:eastAsia="en-GB"/>
        </w:rPr>
        <w:t xml:space="preserve">The Surveillance Atlas indicators were </w:t>
      </w:r>
      <w:r w:rsidR="00FB2A75">
        <w:rPr>
          <w:rFonts w:eastAsia="Times New Roman" w:cs="Tahoma"/>
          <w:color w:val="333333"/>
          <w:sz w:val="18"/>
          <w:szCs w:val="18"/>
          <w:lang w:eastAsia="en-GB"/>
        </w:rPr>
        <w:t xml:space="preserve">calculated up to the end of </w:t>
      </w:r>
      <w:r w:rsidR="000D37D6">
        <w:rPr>
          <w:rFonts w:eastAsia="Times New Roman" w:cs="Tahoma"/>
          <w:color w:val="333333"/>
          <w:sz w:val="18"/>
          <w:szCs w:val="18"/>
          <w:lang w:eastAsia="en-GB"/>
        </w:rPr>
        <w:t>2023</w:t>
      </w:r>
      <w:r w:rsidRPr="00FE2272">
        <w:rPr>
          <w:rFonts w:eastAsia="Times New Roman" w:cs="Tahoma"/>
          <w:color w:val="333333"/>
          <w:sz w:val="18"/>
          <w:szCs w:val="18"/>
          <w:lang w:eastAsia="en-GB"/>
        </w:rPr>
        <w:t>. </w:t>
      </w:r>
      <w:r w:rsidRPr="00524967">
        <w:rPr>
          <w:rFonts w:eastAsia="Times New Roman" w:cs="Tahoma"/>
          <w:color w:val="333333"/>
          <w:sz w:val="18"/>
          <w:szCs w:val="18"/>
          <w:lang w:eastAsia="en-GB"/>
        </w:rPr>
        <w:t xml:space="preserve">EU/EEA countries reporting data on </w:t>
      </w:r>
      <w:r>
        <w:rPr>
          <w:rFonts w:eastAsia="Times New Roman" w:cs="Tahoma"/>
          <w:color w:val="333333"/>
          <w:sz w:val="18"/>
          <w:szCs w:val="18"/>
          <w:lang w:eastAsia="en-GB"/>
        </w:rPr>
        <w:t>chlamydia</w:t>
      </w:r>
      <w:r w:rsidRPr="00524967">
        <w:rPr>
          <w:rFonts w:eastAsia="Times New Roman" w:cs="Tahoma"/>
          <w:color w:val="333333"/>
          <w:sz w:val="18"/>
          <w:szCs w:val="18"/>
          <w:lang w:eastAsia="en-GB"/>
        </w:rPr>
        <w:t xml:space="preserve"> a</w:t>
      </w:r>
      <w:r>
        <w:rPr>
          <w:rFonts w:eastAsia="Times New Roman" w:cs="Tahoma"/>
          <w:color w:val="333333"/>
          <w:sz w:val="18"/>
          <w:szCs w:val="18"/>
          <w:lang w:eastAsia="en-GB"/>
        </w:rPr>
        <w:t>re</w:t>
      </w:r>
      <w:r w:rsidRPr="00524967">
        <w:rPr>
          <w:rFonts w:eastAsia="Times New Roman" w:cs="Tahoma"/>
          <w:color w:val="333333"/>
          <w:sz w:val="18"/>
          <w:szCs w:val="18"/>
          <w:lang w:eastAsia="en-GB"/>
        </w:rPr>
        <w:t xml:space="preserve"> displayed in </w:t>
      </w:r>
      <w:r w:rsidR="00776D29">
        <w:rPr>
          <w:rFonts w:eastAsia="Times New Roman" w:cs="Tahoma"/>
          <w:color w:val="333333"/>
          <w:sz w:val="18"/>
          <w:szCs w:val="18"/>
          <w:lang w:eastAsia="en-GB"/>
        </w:rPr>
        <w:t xml:space="preserve">the </w:t>
      </w:r>
      <w:r w:rsidR="0063226B">
        <w:rPr>
          <w:rFonts w:eastAsia="Times New Roman" w:cs="Tahoma"/>
          <w:color w:val="333333"/>
          <w:sz w:val="18"/>
          <w:szCs w:val="18"/>
          <w:lang w:eastAsia="en-GB"/>
        </w:rPr>
        <w:t>t</w:t>
      </w:r>
      <w:r w:rsidR="00776D29">
        <w:rPr>
          <w:rFonts w:eastAsia="Times New Roman" w:cs="Tahoma"/>
          <w:color w:val="333333"/>
          <w:sz w:val="18"/>
          <w:szCs w:val="18"/>
          <w:lang w:eastAsia="en-GB"/>
        </w:rPr>
        <w:t>able below</w:t>
      </w:r>
      <w:r w:rsidRPr="00524967">
        <w:rPr>
          <w:rFonts w:eastAsia="Times New Roman" w:cs="Tahoma"/>
          <w:color w:val="333333"/>
          <w:sz w:val="18"/>
          <w:szCs w:val="18"/>
          <w:lang w:eastAsia="en-GB"/>
        </w:rPr>
        <w:t>. For data quality, reporting completeness of variables used to calculate Surveillance Atlas indicators was analysed for reported, confirmed cases. For countries reporting data only in aggregated format, the analysis of data completeness is allowed only for data reported such as age and gender.</w:t>
      </w:r>
    </w:p>
    <w:p w14:paraId="059BA39C" w14:textId="77777777" w:rsidR="00F52848" w:rsidRDefault="00F52848" w:rsidP="00F52848">
      <w:pPr>
        <w:shd w:val="clear" w:color="auto" w:fill="FFFFFF"/>
        <w:jc w:val="both"/>
        <w:rPr>
          <w:rFonts w:eastAsia="Times New Roman" w:cs="Tahoma"/>
          <w:color w:val="333333"/>
          <w:sz w:val="18"/>
          <w:szCs w:val="18"/>
          <w:lang w:eastAsia="en-GB"/>
        </w:rPr>
      </w:pPr>
    </w:p>
    <w:p w14:paraId="3EE03977" w14:textId="77777777" w:rsidR="00F52848" w:rsidRPr="00524967" w:rsidRDefault="00F52848" w:rsidP="00F52848">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xml:space="preserve">The Surveillance Atlas indicators for data quality of confirmed </w:t>
      </w:r>
      <w:r>
        <w:rPr>
          <w:rFonts w:eastAsia="Times New Roman" w:cs="Tahoma"/>
          <w:color w:val="333333"/>
          <w:sz w:val="18"/>
          <w:szCs w:val="18"/>
          <w:lang w:eastAsia="en-GB"/>
        </w:rPr>
        <w:t>chlamydia</w:t>
      </w:r>
      <w:r w:rsidRPr="00524967">
        <w:rPr>
          <w:rFonts w:eastAsia="Times New Roman" w:cs="Tahoma"/>
          <w:color w:val="333333"/>
          <w:sz w:val="18"/>
          <w:szCs w:val="18"/>
          <w:lang w:eastAsia="en-GB"/>
        </w:rPr>
        <w:t xml:space="preserve"> cases are:</w:t>
      </w:r>
    </w:p>
    <w:p w14:paraId="3B096100" w14:textId="77777777" w:rsidR="00F52848" w:rsidRPr="004660C8" w:rsidRDefault="00F52848" w:rsidP="00F52848">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age (%</w:t>
      </w:r>
      <w:proofErr w:type="gramStart"/>
      <w:r w:rsidRPr="004660C8">
        <w:rPr>
          <w:rFonts w:cs="Tahoma"/>
          <w:sz w:val="18"/>
          <w:szCs w:val="18"/>
          <w:lang w:eastAsia="en-GB"/>
        </w:rPr>
        <w:t>);</w:t>
      </w:r>
      <w:proofErr w:type="gramEnd"/>
    </w:p>
    <w:p w14:paraId="71DAFD83" w14:textId="77777777" w:rsidR="00F52848" w:rsidRPr="004660C8" w:rsidRDefault="00F52848" w:rsidP="00F52848">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gender (%</w:t>
      </w:r>
      <w:proofErr w:type="gramStart"/>
      <w:r w:rsidRPr="004660C8">
        <w:rPr>
          <w:rFonts w:cs="Tahoma"/>
          <w:sz w:val="18"/>
          <w:szCs w:val="18"/>
          <w:lang w:eastAsia="en-GB"/>
        </w:rPr>
        <w:t>);</w:t>
      </w:r>
      <w:proofErr w:type="gramEnd"/>
    </w:p>
    <w:p w14:paraId="793C737C" w14:textId="77777777" w:rsidR="00F52848" w:rsidRPr="004660C8" w:rsidRDefault="00F52848" w:rsidP="00F52848">
      <w:pPr>
        <w:pStyle w:val="ListParagraph"/>
        <w:numPr>
          <w:ilvl w:val="0"/>
          <w:numId w:val="8"/>
        </w:numPr>
        <w:shd w:val="clear" w:color="auto" w:fill="FFFFFF"/>
        <w:spacing w:line="264" w:lineRule="atLeast"/>
        <w:jc w:val="both"/>
        <w:rPr>
          <w:rFonts w:cs="Tahoma"/>
          <w:lang w:eastAsia="en-GB"/>
        </w:rPr>
      </w:pPr>
      <w:r w:rsidRPr="008C5377">
        <w:rPr>
          <w:rFonts w:cs="Tahoma"/>
          <w:sz w:val="18"/>
          <w:szCs w:val="18"/>
          <w:lang w:eastAsia="en-GB"/>
        </w:rPr>
        <w:t xml:space="preserve">Completeness </w:t>
      </w:r>
      <w:r>
        <w:rPr>
          <w:rFonts w:cs="Tahoma"/>
          <w:sz w:val="18"/>
          <w:szCs w:val="18"/>
          <w:lang w:eastAsia="en-GB"/>
        </w:rPr>
        <w:t>transmission (%</w:t>
      </w:r>
      <w:proofErr w:type="gramStart"/>
      <w:r>
        <w:rPr>
          <w:rFonts w:cs="Tahoma"/>
          <w:sz w:val="18"/>
          <w:szCs w:val="18"/>
          <w:lang w:eastAsia="en-GB"/>
        </w:rPr>
        <w:t>);</w:t>
      </w:r>
      <w:proofErr w:type="gramEnd"/>
    </w:p>
    <w:p w14:paraId="1F2767A4" w14:textId="77777777" w:rsidR="00F52848" w:rsidRPr="004660C8" w:rsidRDefault="00F52848" w:rsidP="00F52848">
      <w:pPr>
        <w:pStyle w:val="ListParagraph"/>
        <w:numPr>
          <w:ilvl w:val="0"/>
          <w:numId w:val="8"/>
        </w:numPr>
        <w:shd w:val="clear" w:color="auto" w:fill="FFFFFF"/>
        <w:spacing w:line="264" w:lineRule="atLeast"/>
        <w:jc w:val="both"/>
        <w:rPr>
          <w:rFonts w:cs="Tahoma"/>
          <w:lang w:eastAsia="en-GB"/>
        </w:rPr>
      </w:pPr>
      <w:r>
        <w:rPr>
          <w:rFonts w:cs="Tahoma"/>
          <w:sz w:val="18"/>
          <w:szCs w:val="18"/>
          <w:lang w:eastAsia="en-GB"/>
        </w:rPr>
        <w:t>Completeness site of infection (%</w:t>
      </w:r>
      <w:proofErr w:type="gramStart"/>
      <w:r>
        <w:rPr>
          <w:rFonts w:cs="Tahoma"/>
          <w:sz w:val="18"/>
          <w:szCs w:val="18"/>
          <w:lang w:eastAsia="en-GB"/>
        </w:rPr>
        <w:t>);</w:t>
      </w:r>
      <w:proofErr w:type="gramEnd"/>
    </w:p>
    <w:p w14:paraId="45BFC157" w14:textId="77777777" w:rsidR="00F52848" w:rsidRPr="00524967" w:rsidRDefault="00F52848" w:rsidP="00F52848">
      <w:pPr>
        <w:shd w:val="clear" w:color="auto" w:fill="FFFFFF"/>
        <w:jc w:val="both"/>
        <w:rPr>
          <w:rFonts w:eastAsia="Times New Roman" w:cs="Tahoma"/>
          <w:color w:val="333333"/>
          <w:szCs w:val="14"/>
          <w:lang w:eastAsia="en-GB"/>
        </w:rPr>
      </w:pPr>
    </w:p>
    <w:p w14:paraId="6868FA60" w14:textId="77777777" w:rsidR="00F52848" w:rsidRPr="00E647F9" w:rsidRDefault="00F52848" w:rsidP="00F52848">
      <w:pPr>
        <w:pStyle w:val="EC-Title-6"/>
        <w:rPr>
          <w:rFonts w:cs="Tahoma"/>
        </w:rPr>
      </w:pPr>
      <w:bookmarkStart w:id="15" w:name="_Toc175577666"/>
      <w:r w:rsidRPr="00E647F9">
        <w:rPr>
          <w:rFonts w:cs="Tahoma"/>
        </w:rPr>
        <w:t>Interpretation</w:t>
      </w:r>
      <w:bookmarkEnd w:id="15"/>
      <w:r w:rsidRPr="00E647F9">
        <w:rPr>
          <w:rFonts w:cs="Tahoma"/>
        </w:rPr>
        <w:t xml:space="preserve"> </w:t>
      </w:r>
    </w:p>
    <w:p w14:paraId="1E5A1190" w14:textId="410E3F65" w:rsidR="00F52848" w:rsidRDefault="00F52848" w:rsidP="00F52848">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 xml:space="preserve">The results shown in the Atlas </w:t>
      </w:r>
      <w:r w:rsidRPr="006B2F19">
        <w:rPr>
          <w:rFonts w:eastAsia="Arial Unicode MS" w:cs="Tahoma"/>
          <w:kern w:val="22"/>
          <w:sz w:val="18"/>
          <w:szCs w:val="18"/>
        </w:rPr>
        <w:t xml:space="preserve">should be interpreted with caution and </w:t>
      </w:r>
      <w:proofErr w:type="gramStart"/>
      <w:r w:rsidRPr="006B2F19">
        <w:rPr>
          <w:rFonts w:eastAsia="Arial Unicode MS" w:cs="Tahoma"/>
          <w:kern w:val="22"/>
          <w:sz w:val="18"/>
          <w:szCs w:val="18"/>
        </w:rPr>
        <w:t>taking into account</w:t>
      </w:r>
      <w:proofErr w:type="gramEnd"/>
      <w:r w:rsidRPr="006B2F19">
        <w:rPr>
          <w:rFonts w:eastAsia="Arial Unicode MS" w:cs="Tahoma"/>
          <w:kern w:val="22"/>
          <w:sz w:val="18"/>
          <w:szCs w:val="18"/>
        </w:rPr>
        <w:t xml:space="preserve"> data quality issues and differences </w:t>
      </w:r>
      <w:r>
        <w:rPr>
          <w:rFonts w:eastAsia="Arial Unicode MS" w:cs="Tahoma"/>
          <w:kern w:val="22"/>
          <w:sz w:val="18"/>
          <w:szCs w:val="18"/>
        </w:rPr>
        <w:t>between</w:t>
      </w:r>
      <w:r w:rsidRPr="006B2F19">
        <w:rPr>
          <w:rFonts w:eastAsia="Arial Unicode MS" w:cs="Tahoma"/>
          <w:kern w:val="22"/>
          <w:sz w:val="18"/>
          <w:szCs w:val="18"/>
        </w:rPr>
        <w:t xml:space="preserve"> Member State surveillance systems. </w:t>
      </w:r>
      <w:proofErr w:type="gramStart"/>
      <w:r>
        <w:rPr>
          <w:rFonts w:eastAsia="Arial Unicode MS" w:cs="Tahoma"/>
          <w:kern w:val="22"/>
          <w:sz w:val="18"/>
          <w:szCs w:val="18"/>
        </w:rPr>
        <w:t>P</w:t>
      </w:r>
      <w:r w:rsidRPr="006B2F19">
        <w:rPr>
          <w:rFonts w:eastAsia="Arial Unicode MS" w:cs="Tahoma"/>
          <w:kern w:val="22"/>
          <w:sz w:val="18"/>
          <w:szCs w:val="18"/>
        </w:rPr>
        <w:t>articular caution</w:t>
      </w:r>
      <w:proofErr w:type="gramEnd"/>
      <w:r w:rsidRPr="006B2F19">
        <w:rPr>
          <w:rFonts w:eastAsia="Arial Unicode MS" w:cs="Tahoma"/>
          <w:kern w:val="22"/>
          <w:sz w:val="18"/>
          <w:szCs w:val="18"/>
        </w:rPr>
        <w:t xml:space="preserve"> is required </w:t>
      </w:r>
      <w:r>
        <w:rPr>
          <w:rFonts w:eastAsia="Arial Unicode MS" w:cs="Tahoma"/>
          <w:kern w:val="22"/>
          <w:sz w:val="18"/>
          <w:szCs w:val="18"/>
        </w:rPr>
        <w:t xml:space="preserve">when completeness is rather low or varies between countries. Considering that the majority of chlamydia infections are asymptomatic </w:t>
      </w:r>
      <w:r>
        <w:rPr>
          <w:rFonts w:eastAsia="Arial Unicode MS" w:cs="Tahoma"/>
          <w:kern w:val="22"/>
          <w:sz w:val="18"/>
          <w:szCs w:val="18"/>
        </w:rPr>
        <w:lastRenderedPageBreak/>
        <w:t xml:space="preserve">(particularly among women), chlamydia surveillance data depend heavily on testing strategies, availability of diagnostics and diagnostic pathways </w:t>
      </w:r>
      <w:proofErr w:type="gramStart"/>
      <w:r>
        <w:rPr>
          <w:rFonts w:eastAsia="Arial Unicode MS" w:cs="Tahoma"/>
          <w:kern w:val="22"/>
          <w:sz w:val="18"/>
          <w:szCs w:val="18"/>
        </w:rPr>
        <w:t>used</w:t>
      </w:r>
      <w:proofErr w:type="gramEnd"/>
      <w:r>
        <w:rPr>
          <w:rFonts w:eastAsia="Arial Unicode MS" w:cs="Tahoma"/>
          <w:kern w:val="22"/>
          <w:sz w:val="18"/>
          <w:szCs w:val="18"/>
        </w:rPr>
        <w:t xml:space="preserve"> and these vary across countries. In addition, </w:t>
      </w:r>
      <w:r w:rsidRPr="006B2F19">
        <w:rPr>
          <w:rFonts w:eastAsia="Arial Unicode MS" w:cs="Tahoma"/>
          <w:kern w:val="22"/>
          <w:sz w:val="18"/>
          <w:szCs w:val="18"/>
        </w:rPr>
        <w:t xml:space="preserve">under-reporting </w:t>
      </w:r>
      <w:r>
        <w:rPr>
          <w:rFonts w:eastAsia="Arial Unicode MS" w:cs="Tahoma"/>
          <w:kern w:val="22"/>
          <w:sz w:val="18"/>
          <w:szCs w:val="18"/>
        </w:rPr>
        <w:t>may</w:t>
      </w:r>
      <w:r w:rsidRPr="006B2F19">
        <w:rPr>
          <w:rFonts w:eastAsia="Arial Unicode MS" w:cs="Tahoma"/>
          <w:kern w:val="22"/>
          <w:sz w:val="18"/>
          <w:szCs w:val="18"/>
        </w:rPr>
        <w:t xml:space="preserve"> differ between countries depending on the characteristics of their surveillance systems. </w:t>
      </w:r>
      <w:r w:rsidR="00D02957" w:rsidRPr="006B2F19">
        <w:rPr>
          <w:rFonts w:eastAsia="Arial Unicode MS" w:cs="Tahoma"/>
          <w:kern w:val="22"/>
          <w:sz w:val="18"/>
          <w:szCs w:val="18"/>
        </w:rPr>
        <w:t xml:space="preserve">Hence, </w:t>
      </w:r>
      <w:r w:rsidR="00FA29A3">
        <w:rPr>
          <w:rFonts w:eastAsia="Arial Unicode MS" w:cs="Tahoma"/>
          <w:kern w:val="22"/>
          <w:sz w:val="18"/>
          <w:szCs w:val="18"/>
        </w:rPr>
        <w:t>any</w:t>
      </w:r>
      <w:r w:rsidR="00D02957" w:rsidRPr="006B2F19">
        <w:rPr>
          <w:rFonts w:eastAsia="Arial Unicode MS" w:cs="Tahoma"/>
          <w:kern w:val="22"/>
          <w:sz w:val="18"/>
          <w:szCs w:val="18"/>
        </w:rPr>
        <w:t xml:space="preserve"> direct comparisons between countries without taking into account these limitations in the data</w:t>
      </w:r>
      <w:r w:rsidR="00FA29A3">
        <w:rPr>
          <w:rFonts w:eastAsia="Arial Unicode MS" w:cs="Tahoma"/>
          <w:kern w:val="22"/>
          <w:sz w:val="18"/>
          <w:szCs w:val="18"/>
        </w:rPr>
        <w:t xml:space="preserve"> </w:t>
      </w:r>
      <w:proofErr w:type="gramStart"/>
      <w:r w:rsidR="00FA29A3">
        <w:rPr>
          <w:rFonts w:eastAsia="Arial Unicode MS" w:cs="Tahoma"/>
          <w:kern w:val="22"/>
          <w:sz w:val="18"/>
          <w:szCs w:val="18"/>
        </w:rPr>
        <w:t>is</w:t>
      </w:r>
      <w:proofErr w:type="gramEnd"/>
      <w:r w:rsidR="00FA29A3">
        <w:rPr>
          <w:rFonts w:eastAsia="Arial Unicode MS" w:cs="Tahoma"/>
          <w:kern w:val="22"/>
          <w:sz w:val="18"/>
          <w:szCs w:val="18"/>
        </w:rPr>
        <w:t xml:space="preserve"> not advisable</w:t>
      </w:r>
      <w:r w:rsidR="00D02957" w:rsidRPr="006B2F19">
        <w:rPr>
          <w:rFonts w:eastAsia="Arial Unicode MS" w:cs="Tahoma"/>
          <w:kern w:val="22"/>
          <w:sz w:val="18"/>
          <w:szCs w:val="18"/>
        </w:rPr>
        <w:t>.</w:t>
      </w:r>
    </w:p>
    <w:p w14:paraId="00608F3E" w14:textId="1989C920" w:rsidR="00F52848" w:rsidRDefault="000A0178" w:rsidP="00F52848">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Since</w:t>
      </w:r>
      <w:r w:rsidR="00275271">
        <w:rPr>
          <w:rFonts w:eastAsia="Arial Unicode MS" w:cs="Tahoma"/>
          <w:kern w:val="22"/>
          <w:sz w:val="18"/>
          <w:szCs w:val="18"/>
        </w:rPr>
        <w:t xml:space="preserve"> 2020 no </w:t>
      </w:r>
      <w:r w:rsidR="00275271" w:rsidRPr="00275271">
        <w:rPr>
          <w:rFonts w:eastAsia="Arial Unicode MS" w:cs="Tahoma"/>
          <w:kern w:val="22"/>
          <w:sz w:val="18"/>
          <w:szCs w:val="18"/>
        </w:rPr>
        <w:t>data were</w:t>
      </w:r>
      <w:r w:rsidR="00275271">
        <w:rPr>
          <w:rFonts w:eastAsia="Arial Unicode MS" w:cs="Tahoma"/>
          <w:kern w:val="22"/>
          <w:sz w:val="18"/>
          <w:szCs w:val="18"/>
        </w:rPr>
        <w:t xml:space="preserve"> </w:t>
      </w:r>
      <w:r w:rsidR="00275271" w:rsidRPr="00275271">
        <w:rPr>
          <w:rFonts w:eastAsia="Arial Unicode MS" w:cs="Tahoma"/>
          <w:kern w:val="22"/>
          <w:sz w:val="18"/>
          <w:szCs w:val="18"/>
        </w:rPr>
        <w:t>reported by the United Kingdom (UK) due to its withdrawal from the EU on 1 February 2020.</w:t>
      </w:r>
      <w:r w:rsidR="00275271">
        <w:rPr>
          <w:rFonts w:eastAsia="Arial Unicode MS" w:cs="Tahoma"/>
          <w:kern w:val="22"/>
          <w:sz w:val="18"/>
          <w:szCs w:val="18"/>
        </w:rPr>
        <w:t xml:space="preserve"> As the UK </w:t>
      </w:r>
      <w:r w:rsidR="00F52848" w:rsidRPr="0037009E">
        <w:rPr>
          <w:rFonts w:eastAsia="Arial Unicode MS" w:cs="Tahoma"/>
          <w:kern w:val="22"/>
          <w:sz w:val="18"/>
          <w:szCs w:val="18"/>
        </w:rPr>
        <w:t>contribute</w:t>
      </w:r>
      <w:r w:rsidR="00275271">
        <w:rPr>
          <w:rFonts w:eastAsia="Arial Unicode MS" w:cs="Tahoma"/>
          <w:kern w:val="22"/>
          <w:sz w:val="18"/>
          <w:szCs w:val="18"/>
        </w:rPr>
        <w:t>d</w:t>
      </w:r>
      <w:r w:rsidR="00F52848" w:rsidRPr="0037009E">
        <w:rPr>
          <w:rFonts w:eastAsia="Arial Unicode MS" w:cs="Tahoma"/>
          <w:kern w:val="22"/>
          <w:sz w:val="18"/>
          <w:szCs w:val="18"/>
        </w:rPr>
        <w:t xml:space="preserve"> a large proportion of re</w:t>
      </w:r>
      <w:r w:rsidR="00F52848" w:rsidRPr="00D45D38">
        <w:rPr>
          <w:rFonts w:eastAsia="Arial Unicode MS" w:cs="Tahoma"/>
          <w:kern w:val="22"/>
          <w:sz w:val="18"/>
          <w:szCs w:val="18"/>
        </w:rPr>
        <w:t>ported cases</w:t>
      </w:r>
      <w:r w:rsidR="00D02957" w:rsidRPr="00D02957">
        <w:rPr>
          <w:rFonts w:eastAsia="Arial Unicode MS" w:cs="Tahoma"/>
          <w:kern w:val="22"/>
          <w:sz w:val="18"/>
          <w:szCs w:val="18"/>
        </w:rPr>
        <w:t xml:space="preserve"> </w:t>
      </w:r>
      <w:r w:rsidR="00D02957">
        <w:rPr>
          <w:rFonts w:eastAsia="Arial Unicode MS" w:cs="Tahoma"/>
          <w:kern w:val="22"/>
          <w:sz w:val="18"/>
          <w:szCs w:val="18"/>
        </w:rPr>
        <w:t>in previous years</w:t>
      </w:r>
      <w:r w:rsidR="00551704">
        <w:rPr>
          <w:rFonts w:eastAsia="Arial Unicode MS" w:cs="Tahoma"/>
          <w:kern w:val="22"/>
          <w:sz w:val="18"/>
          <w:szCs w:val="18"/>
        </w:rPr>
        <w:t>,</w:t>
      </w:r>
      <w:r w:rsidR="00F52848" w:rsidRPr="00D45D38" w:rsidDel="00551704">
        <w:rPr>
          <w:rFonts w:eastAsia="Arial Unicode MS" w:cs="Tahoma"/>
          <w:kern w:val="22"/>
          <w:sz w:val="18"/>
          <w:szCs w:val="18"/>
        </w:rPr>
        <w:t xml:space="preserve"> </w:t>
      </w:r>
      <w:r w:rsidR="00FD5349">
        <w:rPr>
          <w:rFonts w:eastAsia="Arial Unicode MS" w:cs="Tahoma"/>
          <w:kern w:val="22"/>
          <w:sz w:val="18"/>
          <w:szCs w:val="18"/>
        </w:rPr>
        <w:t>this led to a</w:t>
      </w:r>
      <w:r w:rsidR="00D02957">
        <w:rPr>
          <w:rFonts w:eastAsia="Arial Unicode MS" w:cs="Tahoma"/>
          <w:kern w:val="22"/>
          <w:sz w:val="18"/>
          <w:szCs w:val="18"/>
        </w:rPr>
        <w:t xml:space="preserve"> large</w:t>
      </w:r>
      <w:r w:rsidR="00E40194">
        <w:rPr>
          <w:rFonts w:eastAsia="Arial Unicode MS" w:cs="Tahoma"/>
          <w:kern w:val="22"/>
          <w:sz w:val="18"/>
          <w:szCs w:val="18"/>
        </w:rPr>
        <w:t>, art</w:t>
      </w:r>
      <w:r w:rsidR="00FA29A3">
        <w:rPr>
          <w:rFonts w:eastAsia="Arial Unicode MS" w:cs="Tahoma"/>
          <w:kern w:val="22"/>
          <w:sz w:val="18"/>
          <w:szCs w:val="18"/>
        </w:rPr>
        <w:t>efactual</w:t>
      </w:r>
      <w:r w:rsidR="00D02957">
        <w:rPr>
          <w:rFonts w:eastAsia="Arial Unicode MS" w:cs="Tahoma"/>
          <w:kern w:val="22"/>
          <w:sz w:val="18"/>
          <w:szCs w:val="18"/>
        </w:rPr>
        <w:t xml:space="preserve"> </w:t>
      </w:r>
      <w:r w:rsidR="00D02957" w:rsidRPr="00D02957">
        <w:rPr>
          <w:rFonts w:eastAsia="Arial Unicode MS" w:cs="Tahoma"/>
          <w:kern w:val="22"/>
          <w:sz w:val="18"/>
          <w:szCs w:val="18"/>
        </w:rPr>
        <w:t xml:space="preserve">decrease </w:t>
      </w:r>
      <w:r w:rsidR="00D02957">
        <w:rPr>
          <w:rFonts w:eastAsia="Arial Unicode MS" w:cs="Tahoma"/>
          <w:kern w:val="22"/>
          <w:sz w:val="18"/>
          <w:szCs w:val="18"/>
        </w:rPr>
        <w:t xml:space="preserve">in the number of cases and rates at EU/EEA-level </w:t>
      </w:r>
      <w:r w:rsidR="00C952AF">
        <w:rPr>
          <w:rFonts w:eastAsia="Arial Unicode MS" w:cs="Tahoma"/>
          <w:kern w:val="22"/>
          <w:sz w:val="18"/>
          <w:szCs w:val="18"/>
        </w:rPr>
        <w:t>since</w:t>
      </w:r>
      <w:r w:rsidR="00D02957">
        <w:rPr>
          <w:rFonts w:eastAsia="Arial Unicode MS" w:cs="Tahoma"/>
          <w:kern w:val="22"/>
          <w:sz w:val="18"/>
          <w:szCs w:val="18"/>
        </w:rPr>
        <w:t xml:space="preserve"> 2020</w:t>
      </w:r>
      <w:r w:rsidR="00C952AF">
        <w:rPr>
          <w:rFonts w:eastAsia="Arial Unicode MS" w:cs="Tahoma"/>
          <w:kern w:val="22"/>
          <w:sz w:val="18"/>
          <w:szCs w:val="18"/>
        </w:rPr>
        <w:t xml:space="preserve"> compared to the years before</w:t>
      </w:r>
      <w:r w:rsidR="00F52848">
        <w:rPr>
          <w:rFonts w:eastAsia="Arial Unicode MS" w:cs="Tahoma"/>
          <w:kern w:val="22"/>
          <w:sz w:val="18"/>
          <w:szCs w:val="18"/>
        </w:rPr>
        <w:t>.</w:t>
      </w:r>
      <w:r w:rsidR="00F52848" w:rsidRPr="0037009E">
        <w:rPr>
          <w:rFonts w:eastAsia="Arial Unicode MS" w:cs="Tahoma"/>
          <w:kern w:val="22"/>
          <w:sz w:val="18"/>
          <w:szCs w:val="18"/>
        </w:rPr>
        <w:t xml:space="preserve"> </w:t>
      </w:r>
    </w:p>
    <w:p w14:paraId="2F9EF08F" w14:textId="384E9F2E" w:rsidR="00D5358B" w:rsidRDefault="002F6A65" w:rsidP="00F52848">
      <w:pPr>
        <w:kinsoku w:val="0"/>
        <w:autoSpaceDE w:val="0"/>
        <w:autoSpaceDN w:val="0"/>
        <w:adjustRightInd w:val="0"/>
        <w:spacing w:after="120" w:line="200" w:lineRule="atLeast"/>
        <w:jc w:val="both"/>
        <w:rPr>
          <w:rFonts w:eastAsia="Arial Unicode MS" w:cs="Tahoma"/>
          <w:kern w:val="22"/>
          <w:sz w:val="18"/>
          <w:szCs w:val="18"/>
        </w:rPr>
      </w:pPr>
      <w:bookmarkStart w:id="16" w:name="_Hlk129354235"/>
      <w:r w:rsidRPr="002F6A65">
        <w:rPr>
          <w:rFonts w:eastAsia="Arial Unicode MS" w:cs="Tahoma"/>
          <w:kern w:val="22"/>
          <w:sz w:val="18"/>
          <w:szCs w:val="18"/>
        </w:rPr>
        <w:t xml:space="preserve">In </w:t>
      </w:r>
      <w:r>
        <w:rPr>
          <w:rFonts w:eastAsia="Arial Unicode MS" w:cs="Tahoma"/>
          <w:kern w:val="22"/>
          <w:sz w:val="18"/>
          <w:szCs w:val="18"/>
        </w:rPr>
        <w:t>Luxembourg</w:t>
      </w:r>
      <w:r w:rsidRPr="002F6A65">
        <w:rPr>
          <w:rFonts w:eastAsia="Arial Unicode MS" w:cs="Tahoma"/>
          <w:kern w:val="22"/>
          <w:sz w:val="18"/>
          <w:szCs w:val="18"/>
        </w:rPr>
        <w:t xml:space="preserve"> the surveillance system </w:t>
      </w:r>
      <w:r w:rsidR="007D1F22">
        <w:rPr>
          <w:rFonts w:eastAsia="Arial Unicode MS" w:cs="Tahoma"/>
          <w:kern w:val="22"/>
          <w:sz w:val="18"/>
          <w:szCs w:val="18"/>
        </w:rPr>
        <w:t>for</w:t>
      </w:r>
      <w:r w:rsidR="00123A53">
        <w:rPr>
          <w:rFonts w:eastAsia="Arial Unicode MS" w:cs="Tahoma"/>
          <w:kern w:val="22"/>
          <w:sz w:val="18"/>
          <w:szCs w:val="18"/>
        </w:rPr>
        <w:t xml:space="preserve"> </w:t>
      </w:r>
      <w:r>
        <w:rPr>
          <w:rFonts w:eastAsia="Arial Unicode MS" w:cs="Tahoma"/>
          <w:kern w:val="22"/>
          <w:sz w:val="18"/>
          <w:szCs w:val="18"/>
        </w:rPr>
        <w:t>chlamydia</w:t>
      </w:r>
      <w:r w:rsidRPr="002F6A65">
        <w:rPr>
          <w:rFonts w:eastAsia="Arial Unicode MS" w:cs="Tahoma"/>
          <w:kern w:val="22"/>
          <w:sz w:val="18"/>
          <w:szCs w:val="18"/>
        </w:rPr>
        <w:t xml:space="preserve"> </w:t>
      </w:r>
      <w:r w:rsidR="007D1F22">
        <w:rPr>
          <w:rFonts w:eastAsia="Arial Unicode MS" w:cs="Tahoma"/>
          <w:kern w:val="22"/>
          <w:sz w:val="18"/>
          <w:szCs w:val="18"/>
        </w:rPr>
        <w:t xml:space="preserve">reporting has </w:t>
      </w:r>
      <w:r w:rsidRPr="002F6A65">
        <w:rPr>
          <w:rFonts w:eastAsia="Arial Unicode MS" w:cs="Tahoma"/>
          <w:kern w:val="22"/>
          <w:sz w:val="18"/>
          <w:szCs w:val="18"/>
        </w:rPr>
        <w:t>changed in 2020</w:t>
      </w:r>
      <w:r w:rsidR="007D1F22">
        <w:rPr>
          <w:rFonts w:eastAsia="Arial Unicode MS" w:cs="Tahoma"/>
          <w:kern w:val="22"/>
          <w:sz w:val="18"/>
          <w:szCs w:val="18"/>
        </w:rPr>
        <w:t>,</w:t>
      </w:r>
      <w:r w:rsidRPr="002F6A65">
        <w:rPr>
          <w:rFonts w:eastAsia="Arial Unicode MS" w:cs="Tahoma"/>
          <w:kern w:val="22"/>
          <w:sz w:val="18"/>
          <w:szCs w:val="18"/>
        </w:rPr>
        <w:t xml:space="preserve"> thus </w:t>
      </w:r>
      <w:r w:rsidR="00C61333">
        <w:rPr>
          <w:rFonts w:eastAsia="Arial Unicode MS" w:cs="Tahoma"/>
          <w:kern w:val="22"/>
          <w:sz w:val="18"/>
          <w:szCs w:val="18"/>
        </w:rPr>
        <w:t xml:space="preserve">the </w:t>
      </w:r>
      <w:r w:rsidRPr="002F6A65">
        <w:rPr>
          <w:rFonts w:eastAsia="Arial Unicode MS" w:cs="Tahoma"/>
          <w:kern w:val="22"/>
          <w:sz w:val="18"/>
          <w:szCs w:val="18"/>
        </w:rPr>
        <w:t xml:space="preserve">data </w:t>
      </w:r>
      <w:r w:rsidR="00E87AB0">
        <w:rPr>
          <w:rFonts w:eastAsia="Arial Unicode MS" w:cs="Tahoma"/>
          <w:kern w:val="22"/>
          <w:sz w:val="18"/>
          <w:szCs w:val="18"/>
        </w:rPr>
        <w:t>from</w:t>
      </w:r>
      <w:r w:rsidRPr="002F6A65">
        <w:rPr>
          <w:rFonts w:eastAsia="Arial Unicode MS" w:cs="Tahoma"/>
          <w:kern w:val="22"/>
          <w:sz w:val="18"/>
          <w:szCs w:val="18"/>
        </w:rPr>
        <w:t xml:space="preserve"> 2020 </w:t>
      </w:r>
      <w:r w:rsidR="00E87AB0">
        <w:rPr>
          <w:rFonts w:eastAsia="Arial Unicode MS" w:cs="Tahoma"/>
          <w:kern w:val="22"/>
          <w:sz w:val="18"/>
          <w:szCs w:val="18"/>
        </w:rPr>
        <w:t xml:space="preserve">onwards </w:t>
      </w:r>
      <w:r w:rsidRPr="002F6A65">
        <w:rPr>
          <w:rFonts w:eastAsia="Arial Unicode MS" w:cs="Tahoma"/>
          <w:kern w:val="22"/>
          <w:sz w:val="18"/>
          <w:szCs w:val="18"/>
        </w:rPr>
        <w:t>should not be compared with data from previous years.</w:t>
      </w:r>
    </w:p>
    <w:p w14:paraId="1363ED68" w14:textId="77777777" w:rsidR="00F52848" w:rsidRDefault="00F52848" w:rsidP="00F52848">
      <w:pPr>
        <w:pStyle w:val="EC-Title-6"/>
        <w:rPr>
          <w:rFonts w:cs="Tahoma"/>
          <w:color w:val="FF0000"/>
          <w:sz w:val="20"/>
          <w:szCs w:val="20"/>
        </w:rPr>
      </w:pPr>
      <w:bookmarkStart w:id="17" w:name="_Toc175577667"/>
      <w:bookmarkEnd w:id="16"/>
      <w:r>
        <w:t>Reports published by ECDC on chlamydia infection</w:t>
      </w:r>
      <w:bookmarkEnd w:id="17"/>
      <w:r>
        <w:t xml:space="preserve"> </w:t>
      </w:r>
    </w:p>
    <w:p w14:paraId="7B9764E1" w14:textId="77777777" w:rsidR="00F52848" w:rsidRPr="007B34B1" w:rsidRDefault="00F52848" w:rsidP="00F52848">
      <w:pPr>
        <w:kinsoku w:val="0"/>
        <w:autoSpaceDE w:val="0"/>
        <w:autoSpaceDN w:val="0"/>
        <w:adjustRightInd w:val="0"/>
        <w:spacing w:after="120" w:line="200" w:lineRule="atLeast"/>
        <w:jc w:val="both"/>
        <w:rPr>
          <w:rFonts w:eastAsia="Arial Unicode MS"/>
          <w:kern w:val="22"/>
          <w:sz w:val="18"/>
          <w:szCs w:val="18"/>
        </w:rPr>
      </w:pPr>
      <w:r w:rsidRPr="007B34B1">
        <w:rPr>
          <w:rFonts w:eastAsia="Arial Unicode MS"/>
          <w:kern w:val="22"/>
          <w:sz w:val="18"/>
          <w:szCs w:val="18"/>
        </w:rPr>
        <w:t xml:space="preserve">More information is available in ECDC reports. </w:t>
      </w:r>
      <w:r>
        <w:rPr>
          <w:rFonts w:eastAsia="Arial Unicode MS"/>
          <w:kern w:val="22"/>
          <w:sz w:val="18"/>
          <w:szCs w:val="18"/>
        </w:rPr>
        <w:t>L</w:t>
      </w:r>
      <w:r w:rsidRPr="007B34B1">
        <w:rPr>
          <w:rFonts w:eastAsia="Arial Unicode MS"/>
          <w:kern w:val="22"/>
          <w:sz w:val="18"/>
          <w:szCs w:val="18"/>
        </w:rPr>
        <w:t xml:space="preserve">ater retrievals of data related to the same period may result in slightly different numbers as countries have the possibility to update data retrospectively. Therefore, the data presented in the reports might slightly differ </w:t>
      </w:r>
      <w:r>
        <w:rPr>
          <w:rFonts w:eastAsia="Arial Unicode MS"/>
          <w:kern w:val="22"/>
          <w:sz w:val="18"/>
          <w:szCs w:val="18"/>
        </w:rPr>
        <w:t>from</w:t>
      </w:r>
      <w:r w:rsidRPr="007B34B1">
        <w:rPr>
          <w:rFonts w:eastAsia="Arial Unicode MS"/>
          <w:kern w:val="22"/>
          <w:sz w:val="18"/>
          <w:szCs w:val="18"/>
        </w:rPr>
        <w:t xml:space="preserve"> th</w:t>
      </w:r>
      <w:r>
        <w:rPr>
          <w:rFonts w:eastAsia="Arial Unicode MS"/>
          <w:kern w:val="22"/>
          <w:sz w:val="18"/>
          <w:szCs w:val="18"/>
        </w:rPr>
        <w:t>ose</w:t>
      </w:r>
      <w:r w:rsidRPr="007B34B1">
        <w:rPr>
          <w:rFonts w:eastAsia="Arial Unicode MS"/>
          <w:kern w:val="22"/>
          <w:sz w:val="18"/>
          <w:szCs w:val="18"/>
        </w:rPr>
        <w:t xml:space="preserve"> presented in the Surveillance Atlas.</w:t>
      </w:r>
    </w:p>
    <w:p w14:paraId="25F19B8E" w14:textId="77777777" w:rsidR="0047364D" w:rsidRDefault="00F52848" w:rsidP="0047364D">
      <w:pPr>
        <w:pStyle w:val="EC-Para"/>
        <w:spacing w:after="0"/>
        <w:rPr>
          <w:rFonts w:eastAsia="Times New Roman" w:cs="Tahoma"/>
          <w:b/>
          <w:kern w:val="36"/>
          <w:lang w:eastAsia="en-GB"/>
        </w:rPr>
      </w:pPr>
      <w:r w:rsidRPr="00FC6466">
        <w:rPr>
          <w:rFonts w:eastAsia="Times New Roman" w:cs="Tahoma"/>
          <w:b/>
          <w:kern w:val="36"/>
          <w:lang w:eastAsia="en-GB"/>
        </w:rPr>
        <w:t>Chlamydia control in Europe – a survey of Member States</w:t>
      </w:r>
    </w:p>
    <w:p w14:paraId="52411616" w14:textId="76975054" w:rsidR="00F52848" w:rsidRPr="0047364D" w:rsidRDefault="00A07B1B" w:rsidP="0047364D">
      <w:pPr>
        <w:pStyle w:val="EC-Para"/>
        <w:rPr>
          <w:rStyle w:val="Hyperlink"/>
          <w:rFonts w:eastAsia="Times New Roman"/>
          <w:b/>
          <w:color w:val="auto"/>
          <w:kern w:val="36"/>
          <w:u w:val="none"/>
          <w:lang w:eastAsia="en-GB"/>
        </w:rPr>
      </w:pPr>
      <w:hyperlink r:id="rId14" w:history="1">
        <w:r w:rsidR="00F52848" w:rsidRPr="00FC6466">
          <w:rPr>
            <w:rStyle w:val="Hyperlink"/>
            <w:rFonts w:cs="Times New Roman"/>
          </w:rPr>
          <w:t>http://ecdc.europa.eu/en/press/news/_layouts/forms/News_DispForm.aspx?List=8db7286c-fe2d-476c-9133-18ff4cb1b568&amp;ID=1026</w:t>
        </w:r>
      </w:hyperlink>
    </w:p>
    <w:p w14:paraId="32D5D23B" w14:textId="77777777" w:rsidR="00D767FC" w:rsidRDefault="00F52848" w:rsidP="0047364D">
      <w:pPr>
        <w:pStyle w:val="EC-Para"/>
        <w:spacing w:before="120" w:after="0" w:line="240" w:lineRule="auto"/>
        <w:contextualSpacing/>
        <w:rPr>
          <w:rFonts w:eastAsia="Times New Roman" w:cs="Tahoma"/>
          <w:b/>
          <w:kern w:val="36"/>
          <w:lang w:eastAsia="en-GB"/>
        </w:rPr>
      </w:pPr>
      <w:r w:rsidRPr="00FC6466">
        <w:rPr>
          <w:rFonts w:eastAsia="Times New Roman" w:cs="Tahoma"/>
          <w:b/>
          <w:kern w:val="36"/>
          <w:lang w:eastAsia="en-GB"/>
        </w:rPr>
        <w:t>Chlamydia control in Europe: literature review</w:t>
      </w:r>
    </w:p>
    <w:p w14:paraId="64AF13B8" w14:textId="2F037615" w:rsidR="00F52848" w:rsidRPr="00D767FC" w:rsidRDefault="00F52848" w:rsidP="0047364D">
      <w:pPr>
        <w:pStyle w:val="EC-Para"/>
        <w:contextualSpacing/>
        <w:rPr>
          <w:rStyle w:val="Hyperlink"/>
          <w:rFonts w:eastAsia="Times New Roman"/>
          <w:b/>
          <w:color w:val="auto"/>
          <w:kern w:val="36"/>
          <w:u w:val="none"/>
          <w:lang w:eastAsia="en-GB"/>
        </w:rPr>
      </w:pPr>
      <w:r w:rsidRPr="00636FD2">
        <w:rPr>
          <w:rStyle w:val="Hyperlink"/>
          <w:rFonts w:cs="Times New Roman"/>
        </w:rPr>
        <w:t>http://ecdc.europa.eu/en/publications/_layouts/forms/Publication_DispForm.aspx?List=4f55ad51-4aed-4d32-b960-af70113dbb90&amp;ID=1021</w:t>
      </w:r>
    </w:p>
    <w:p w14:paraId="2B9458C8" w14:textId="69A2E2AA" w:rsidR="00F52848" w:rsidRPr="006D628E" w:rsidRDefault="00F52848" w:rsidP="00F52848">
      <w:pPr>
        <w:shd w:val="clear" w:color="auto" w:fill="FFFFFF"/>
        <w:rPr>
          <w:rFonts w:eastAsia="Times New Roman" w:cs="Tahoma"/>
          <w:b/>
          <w:kern w:val="36"/>
          <w:sz w:val="18"/>
          <w:szCs w:val="18"/>
          <w:lang w:eastAsia="en-GB"/>
        </w:rPr>
      </w:pPr>
      <w:r w:rsidRPr="006D628E">
        <w:rPr>
          <w:rFonts w:eastAsia="Times New Roman" w:cs="Tahoma"/>
          <w:b/>
          <w:kern w:val="36"/>
          <w:sz w:val="18"/>
          <w:szCs w:val="18"/>
          <w:lang w:eastAsia="en-GB"/>
        </w:rPr>
        <w:t>Annual Epidemiological Report fo</w:t>
      </w:r>
      <w:r w:rsidR="00853465">
        <w:rPr>
          <w:rFonts w:eastAsia="Times New Roman" w:cs="Tahoma"/>
          <w:b/>
          <w:kern w:val="36"/>
          <w:sz w:val="18"/>
          <w:szCs w:val="18"/>
          <w:lang w:eastAsia="en-GB"/>
        </w:rPr>
        <w:t xml:space="preserve">r </w:t>
      </w:r>
      <w:r w:rsidR="003B2435">
        <w:rPr>
          <w:rFonts w:eastAsia="Times New Roman" w:cs="Tahoma"/>
          <w:b/>
          <w:kern w:val="36"/>
          <w:sz w:val="18"/>
          <w:szCs w:val="18"/>
          <w:lang w:eastAsia="en-GB"/>
        </w:rPr>
        <w:t>20</w:t>
      </w:r>
      <w:r w:rsidR="004C54CD">
        <w:rPr>
          <w:rFonts w:eastAsia="Times New Roman" w:cs="Tahoma"/>
          <w:b/>
          <w:kern w:val="36"/>
          <w:sz w:val="18"/>
          <w:szCs w:val="18"/>
          <w:lang w:eastAsia="en-GB"/>
        </w:rPr>
        <w:t>21</w:t>
      </w:r>
      <w:r w:rsidR="003B2435" w:rsidRPr="006D628E">
        <w:rPr>
          <w:rFonts w:eastAsia="Times New Roman" w:cs="Tahoma"/>
          <w:b/>
          <w:kern w:val="36"/>
          <w:sz w:val="18"/>
          <w:szCs w:val="18"/>
          <w:lang w:eastAsia="en-GB"/>
        </w:rPr>
        <w:t xml:space="preserve"> </w:t>
      </w:r>
      <w:r w:rsidRPr="006D628E">
        <w:rPr>
          <w:rFonts w:eastAsia="Times New Roman" w:cs="Tahoma"/>
          <w:b/>
          <w:kern w:val="36"/>
          <w:sz w:val="18"/>
          <w:szCs w:val="18"/>
          <w:lang w:eastAsia="en-GB"/>
        </w:rPr>
        <w:t>- chlamydia</w:t>
      </w:r>
    </w:p>
    <w:p w14:paraId="632B5AB2" w14:textId="293B0AA7" w:rsidR="00561B8E" w:rsidRDefault="004C54CD" w:rsidP="0047364D">
      <w:pPr>
        <w:pStyle w:val="EC-Para"/>
        <w:spacing w:after="0"/>
        <w:contextualSpacing/>
        <w:rPr>
          <w:rStyle w:val="Hyperlink"/>
        </w:rPr>
      </w:pPr>
      <w:r w:rsidRPr="004C54CD">
        <w:rPr>
          <w:rStyle w:val="Hyperlink"/>
        </w:rPr>
        <w:t>https://www.ecdc.europa.eu/sites/default/files/documents/AER%20Chlamydia%202021.pdf</w:t>
      </w:r>
    </w:p>
    <w:p w14:paraId="5AC19FB3" w14:textId="77777777" w:rsidR="00561B8E" w:rsidRDefault="00561B8E" w:rsidP="00776D29">
      <w:pPr>
        <w:rPr>
          <w:rStyle w:val="Hyperlink"/>
        </w:rPr>
      </w:pPr>
    </w:p>
    <w:p w14:paraId="31464C4C" w14:textId="77777777" w:rsidR="00561B8E" w:rsidRDefault="00561B8E" w:rsidP="00776D29">
      <w:pPr>
        <w:rPr>
          <w:rStyle w:val="Hyperlink"/>
        </w:rPr>
      </w:pPr>
    </w:p>
    <w:p w14:paraId="7FD47863" w14:textId="649B1788" w:rsidR="00776D29" w:rsidRDefault="00776D29" w:rsidP="00561B8E"/>
    <w:p w14:paraId="0EEE3CB1" w14:textId="77777777" w:rsidR="00561B8E" w:rsidRDefault="00561B8E" w:rsidP="00561B8E">
      <w:pPr>
        <w:pStyle w:val="EC-Title-6"/>
      </w:pPr>
      <w:r>
        <w:br w:type="page"/>
      </w:r>
    </w:p>
    <w:p w14:paraId="345794D8" w14:textId="5C35DAAB" w:rsidR="00F52848" w:rsidRDefault="00F52848" w:rsidP="005108F0">
      <w:pPr>
        <w:pStyle w:val="EC-Title-6"/>
      </w:pPr>
      <w:bookmarkStart w:id="18" w:name="_Toc175577668"/>
      <w:r w:rsidRPr="00F015EE">
        <w:lastRenderedPageBreak/>
        <w:t xml:space="preserve">Surveillance systems overview, </w:t>
      </w:r>
      <w:r w:rsidR="003167C2">
        <w:t xml:space="preserve">chlamydia, </w:t>
      </w:r>
      <w:r w:rsidR="0027188B">
        <w:t>202</w:t>
      </w:r>
      <w:r w:rsidR="00B00433">
        <w:t>3</w:t>
      </w:r>
      <w:bookmarkEnd w:id="18"/>
    </w:p>
    <w:p w14:paraId="319AF3DE" w14:textId="7F56E3DB" w:rsidR="00076CE8" w:rsidRDefault="00076CE8" w:rsidP="00F52848"/>
    <w:p w14:paraId="0CE6AC6E" w14:textId="33E34F06" w:rsidR="00D9742D" w:rsidRDefault="00225F1D" w:rsidP="00F52848">
      <w:r w:rsidRPr="00225F1D">
        <w:drawing>
          <wp:inline distT="0" distB="0" distL="0" distR="0" wp14:anchorId="6C45712E" wp14:editId="2E1E9D23">
            <wp:extent cx="5731510" cy="3822065"/>
            <wp:effectExtent l="0" t="0" r="2540" b="6985"/>
            <wp:docPr id="310123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822065"/>
                    </a:xfrm>
                    <a:prstGeom prst="rect">
                      <a:avLst/>
                    </a:prstGeom>
                    <a:noFill/>
                    <a:ln>
                      <a:noFill/>
                    </a:ln>
                  </pic:spPr>
                </pic:pic>
              </a:graphicData>
            </a:graphic>
          </wp:inline>
        </w:drawing>
      </w:r>
    </w:p>
    <w:p w14:paraId="0D20C9F9" w14:textId="36048206" w:rsidR="00D9742D" w:rsidRDefault="00D9742D" w:rsidP="00F52848">
      <w:pPr>
        <w:rPr>
          <w:i/>
        </w:rPr>
      </w:pPr>
    </w:p>
    <w:p w14:paraId="3F319C29" w14:textId="4B05B1DF" w:rsidR="00F52848" w:rsidRPr="00EB3A2F" w:rsidRDefault="00F52848" w:rsidP="00F52848">
      <w:pPr>
        <w:rPr>
          <w:i/>
        </w:rPr>
      </w:pPr>
      <w:r>
        <w:rPr>
          <w:i/>
        </w:rPr>
        <w:t xml:space="preserve">Note: </w:t>
      </w:r>
      <w:r w:rsidR="00350D41">
        <w:rPr>
          <w:i/>
        </w:rPr>
        <w:t xml:space="preserve">Austria, </w:t>
      </w:r>
      <w:r>
        <w:rPr>
          <w:i/>
        </w:rPr>
        <w:t>Czech</w:t>
      </w:r>
      <w:r w:rsidR="007503C0">
        <w:rPr>
          <w:i/>
        </w:rPr>
        <w:t>ia</w:t>
      </w:r>
      <w:r>
        <w:rPr>
          <w:i/>
        </w:rPr>
        <w:t xml:space="preserve"> </w:t>
      </w:r>
      <w:r w:rsidR="00D82018">
        <w:rPr>
          <w:i/>
        </w:rPr>
        <w:t>and</w:t>
      </w:r>
      <w:r>
        <w:rPr>
          <w:i/>
        </w:rPr>
        <w:t xml:space="preserve"> Germany do not report chlamydia surveillance data.</w:t>
      </w:r>
      <w:r w:rsidR="00350D41">
        <w:rPr>
          <w:i/>
        </w:rPr>
        <w:t xml:space="preserve"> </w:t>
      </w:r>
      <w:r w:rsidR="00096F5B">
        <w:rPr>
          <w:i/>
        </w:rPr>
        <w:t>France did not report data for 2018</w:t>
      </w:r>
      <w:r w:rsidR="00EB5931">
        <w:rPr>
          <w:i/>
        </w:rPr>
        <w:t xml:space="preserve">, </w:t>
      </w:r>
      <w:r w:rsidR="00096F5B">
        <w:rPr>
          <w:i/>
        </w:rPr>
        <w:t>2019</w:t>
      </w:r>
      <w:r w:rsidR="00EB5931">
        <w:rPr>
          <w:i/>
        </w:rPr>
        <w:t xml:space="preserve"> and 2020.</w:t>
      </w:r>
    </w:p>
    <w:p w14:paraId="7491C28A" w14:textId="1C9D08BD" w:rsidR="00407FA3" w:rsidRDefault="00F52848" w:rsidP="00AA3708">
      <w:pPr>
        <w:kinsoku w:val="0"/>
        <w:autoSpaceDE w:val="0"/>
        <w:autoSpaceDN w:val="0"/>
        <w:adjustRightInd w:val="0"/>
        <w:spacing w:after="120" w:line="200" w:lineRule="atLeast"/>
        <w:jc w:val="both"/>
        <w:rPr>
          <w:rFonts w:eastAsia="Arial Unicode MS" w:cs="Tahoma"/>
          <w:kern w:val="22"/>
          <w:sz w:val="18"/>
          <w:szCs w:val="18"/>
        </w:rPr>
      </w:pPr>
      <w:r>
        <w:br w:type="page"/>
      </w:r>
    </w:p>
    <w:p w14:paraId="661106F4" w14:textId="3332CF34" w:rsidR="001D6768" w:rsidRPr="001D6768" w:rsidRDefault="009E267B" w:rsidP="001D6768">
      <w:pPr>
        <w:pStyle w:val="EC-Title-5"/>
      </w:pPr>
      <w:bookmarkStart w:id="19" w:name="_Toc175577669"/>
      <w:r w:rsidRPr="009F7ABE">
        <w:lastRenderedPageBreak/>
        <w:t>Gon</w:t>
      </w:r>
      <w:r w:rsidR="005204EE" w:rsidRPr="009F7ABE">
        <w:t>o</w:t>
      </w:r>
      <w:r w:rsidRPr="009F7ABE">
        <w:t>r</w:t>
      </w:r>
      <w:r w:rsidR="005204EE" w:rsidRPr="009F7ABE">
        <w:t>rhoea</w:t>
      </w:r>
      <w:bookmarkEnd w:id="19"/>
    </w:p>
    <w:p w14:paraId="6A0F4F53" w14:textId="6634EF5C" w:rsidR="008239F6" w:rsidRDefault="008239F6" w:rsidP="008239F6">
      <w:pPr>
        <w:pStyle w:val="EC-Para"/>
        <w:jc w:val="right"/>
        <w:rPr>
          <w:b/>
          <w:lang w:eastAsia="en-US"/>
        </w:rPr>
      </w:pPr>
      <w:r>
        <w:rPr>
          <w:b/>
          <w:lang w:eastAsia="en-US"/>
        </w:rPr>
        <w:t xml:space="preserve">Last updated: </w:t>
      </w:r>
      <w:r w:rsidR="00F610DC">
        <w:rPr>
          <w:b/>
          <w:lang w:eastAsia="en-US"/>
        </w:rPr>
        <w:t>2</w:t>
      </w:r>
      <w:r w:rsidR="00056AF0">
        <w:rPr>
          <w:b/>
          <w:lang w:eastAsia="en-US"/>
        </w:rPr>
        <w:t>9</w:t>
      </w:r>
      <w:r w:rsidR="00F610DC">
        <w:rPr>
          <w:b/>
          <w:lang w:eastAsia="en-US"/>
        </w:rPr>
        <w:t xml:space="preserve"> August</w:t>
      </w:r>
      <w:r>
        <w:rPr>
          <w:b/>
          <w:lang w:eastAsia="en-US"/>
        </w:rPr>
        <w:t xml:space="preserve"> 202</w:t>
      </w:r>
      <w:r w:rsidR="00F610DC">
        <w:rPr>
          <w:b/>
          <w:lang w:eastAsia="en-US"/>
        </w:rPr>
        <w:t>4</w:t>
      </w:r>
    </w:p>
    <w:p w14:paraId="68631292" w14:textId="128A9E05" w:rsidR="008239F6" w:rsidRDefault="008239F6" w:rsidP="008239F6">
      <w:pPr>
        <w:pStyle w:val="EC-Para"/>
        <w:jc w:val="right"/>
        <w:rPr>
          <w:b/>
          <w:lang w:eastAsia="en-US"/>
        </w:rPr>
      </w:pPr>
      <w:r>
        <w:rPr>
          <w:b/>
          <w:lang w:eastAsia="en-US"/>
        </w:rPr>
        <w:t xml:space="preserve">Data as of </w:t>
      </w:r>
      <w:r w:rsidR="00225F1D">
        <w:rPr>
          <w:b/>
          <w:lang w:eastAsia="en-US"/>
        </w:rPr>
        <w:t>2</w:t>
      </w:r>
      <w:r w:rsidR="00056AF0">
        <w:rPr>
          <w:b/>
          <w:lang w:eastAsia="en-US"/>
        </w:rPr>
        <w:t>9</w:t>
      </w:r>
      <w:r w:rsidR="00F610DC">
        <w:rPr>
          <w:b/>
          <w:lang w:eastAsia="en-US"/>
        </w:rPr>
        <w:t xml:space="preserve"> August </w:t>
      </w:r>
      <w:r>
        <w:rPr>
          <w:b/>
          <w:lang w:eastAsia="en-US"/>
        </w:rPr>
        <w:t>202</w:t>
      </w:r>
      <w:r w:rsidR="00F610DC">
        <w:rPr>
          <w:b/>
          <w:lang w:eastAsia="en-US"/>
        </w:rPr>
        <w:t>4</w:t>
      </w:r>
    </w:p>
    <w:p w14:paraId="7F7C6C02" w14:textId="2E6150DD" w:rsidR="00A17B0B" w:rsidRPr="00022711" w:rsidRDefault="000E4F8F" w:rsidP="00A17B0B">
      <w:pPr>
        <w:pBdr>
          <w:top w:val="single" w:sz="18" w:space="1" w:color="auto"/>
          <w:left w:val="single" w:sz="18" w:space="4" w:color="auto"/>
          <w:bottom w:val="single" w:sz="18" w:space="1" w:color="auto"/>
          <w:right w:val="single" w:sz="18" w:space="4" w:color="auto"/>
        </w:pBd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Data in t</w:t>
      </w:r>
      <w:r w:rsidR="00A17B0B" w:rsidRPr="008452EE">
        <w:rPr>
          <w:rFonts w:eastAsia="Arial Unicode MS" w:cs="Tahoma"/>
          <w:kern w:val="22"/>
          <w:sz w:val="18"/>
          <w:szCs w:val="18"/>
        </w:rPr>
        <w:t xml:space="preserve">he </w:t>
      </w:r>
      <w:r>
        <w:rPr>
          <w:rFonts w:eastAsia="Arial Unicode MS" w:cs="Tahoma"/>
          <w:kern w:val="22"/>
          <w:sz w:val="18"/>
          <w:szCs w:val="18"/>
        </w:rPr>
        <w:t>gonococcal</w:t>
      </w:r>
      <w:r w:rsidRPr="008452EE">
        <w:rPr>
          <w:rFonts w:eastAsia="Arial Unicode MS" w:cs="Tahoma"/>
          <w:kern w:val="22"/>
          <w:sz w:val="18"/>
          <w:szCs w:val="18"/>
        </w:rPr>
        <w:t xml:space="preserve"> </w:t>
      </w:r>
      <w:r w:rsidR="00A17B0B" w:rsidRPr="008452EE">
        <w:rPr>
          <w:rFonts w:eastAsia="Arial Unicode MS" w:cs="Tahoma"/>
          <w:kern w:val="22"/>
          <w:sz w:val="18"/>
          <w:szCs w:val="18"/>
        </w:rPr>
        <w:t xml:space="preserve">infection atlas should be interpreted with caution and comparisons across countries avoided. </w:t>
      </w:r>
      <w:r w:rsidR="00A17B0B">
        <w:rPr>
          <w:rFonts w:eastAsia="Arial Unicode MS" w:cs="Tahoma"/>
          <w:kern w:val="22"/>
          <w:sz w:val="18"/>
          <w:szCs w:val="18"/>
        </w:rPr>
        <w:t xml:space="preserve">A large proportion of gonorrhoea cases are asymptomatic and </w:t>
      </w:r>
      <w:r w:rsidR="00A17B0B" w:rsidRPr="008452EE">
        <w:rPr>
          <w:rFonts w:eastAsia="Arial Unicode MS" w:cs="Tahoma"/>
          <w:kern w:val="22"/>
          <w:sz w:val="18"/>
          <w:szCs w:val="18"/>
        </w:rPr>
        <w:t xml:space="preserve">surveillance data </w:t>
      </w:r>
      <w:r w:rsidR="00A17B0B">
        <w:rPr>
          <w:rFonts w:eastAsia="Arial Unicode MS" w:cs="Tahoma"/>
          <w:kern w:val="22"/>
          <w:sz w:val="18"/>
          <w:szCs w:val="18"/>
        </w:rPr>
        <w:t xml:space="preserve">therefore vary depending on testing recommendations (for example number of anatomical sites tested among men who have sex with men), use of dual nucleic acid amplification tests (NAAT) as part of opportunistic chlamydia testing programmes and extent of use of more sensitive NAATs compared to other diagnostics. </w:t>
      </w:r>
      <w:r w:rsidR="00A17B0B" w:rsidRPr="008452EE">
        <w:rPr>
          <w:rFonts w:eastAsia="Arial Unicode MS" w:cs="Tahoma"/>
          <w:kern w:val="22"/>
          <w:sz w:val="18"/>
          <w:szCs w:val="18"/>
        </w:rPr>
        <w:t xml:space="preserve">In addition, under-reporting may differ between countries depending on the characteristics of their surveillance systems. </w:t>
      </w:r>
    </w:p>
    <w:p w14:paraId="0A250A8F" w14:textId="77777777" w:rsidR="00A17B0B" w:rsidRPr="009F7ABE" w:rsidRDefault="00A17B0B" w:rsidP="004B523C">
      <w:pPr>
        <w:pStyle w:val="EC-Para"/>
        <w:jc w:val="right"/>
        <w:rPr>
          <w:b/>
          <w:lang w:eastAsia="en-US"/>
        </w:rPr>
      </w:pPr>
    </w:p>
    <w:p w14:paraId="6FCD22DD" w14:textId="3D54C68C" w:rsidR="004B523C" w:rsidRPr="009F7ABE" w:rsidRDefault="00994920" w:rsidP="004B523C">
      <w:pPr>
        <w:autoSpaceDE w:val="0"/>
        <w:autoSpaceDN w:val="0"/>
        <w:adjustRightInd w:val="0"/>
        <w:spacing w:after="120"/>
        <w:jc w:val="both"/>
        <w:rPr>
          <w:color w:val="333333"/>
          <w:szCs w:val="18"/>
          <w:shd w:val="clear" w:color="auto" w:fill="FFFFFF"/>
        </w:rPr>
      </w:pPr>
      <w:r w:rsidRPr="009F7ABE">
        <w:rPr>
          <w:rFonts w:cs="Tahoma"/>
          <w:sz w:val="18"/>
          <w:szCs w:val="18"/>
          <w:shd w:val="clear" w:color="auto" w:fill="FFFFFF"/>
        </w:rPr>
        <w:t>Gonorrhoea is a sexually transmitted infection (STI) caused by</w:t>
      </w:r>
      <w:r w:rsidRPr="00022E8A">
        <w:rPr>
          <w:rFonts w:cs="Tahoma"/>
          <w:sz w:val="18"/>
        </w:rPr>
        <w:t> </w:t>
      </w:r>
      <w:r w:rsidR="00022E8A" w:rsidRPr="00022E8A">
        <w:rPr>
          <w:rFonts w:cs="Tahoma"/>
          <w:sz w:val="18"/>
        </w:rPr>
        <w:t xml:space="preserve">the bacterium </w:t>
      </w:r>
      <w:r w:rsidRPr="009F7ABE">
        <w:rPr>
          <w:rStyle w:val="Emphasis"/>
          <w:rFonts w:cs="Tahoma"/>
          <w:sz w:val="18"/>
          <w:szCs w:val="18"/>
          <w:shd w:val="clear" w:color="auto" w:fill="FFFFFF"/>
        </w:rPr>
        <w:t>Neisseria gonorrhoeae</w:t>
      </w:r>
      <w:r w:rsidR="00E85C7E" w:rsidRPr="009F7ABE">
        <w:rPr>
          <w:rFonts w:cs="Tahoma"/>
          <w:sz w:val="18"/>
          <w:szCs w:val="18"/>
          <w:shd w:val="clear" w:color="auto" w:fill="FFFFFF"/>
        </w:rPr>
        <w:t>.</w:t>
      </w:r>
      <w:r w:rsidR="00E85C7E" w:rsidRPr="009F7ABE">
        <w:rPr>
          <w:rStyle w:val="apple-converted-space"/>
          <w:szCs w:val="18"/>
          <w:shd w:val="clear" w:color="auto" w:fill="FFFFFF"/>
        </w:rPr>
        <w:t> </w:t>
      </w:r>
      <w:r w:rsidR="004B523C" w:rsidRPr="009F7ABE">
        <w:rPr>
          <w:rFonts w:eastAsiaTheme="minorHAnsi" w:cs="Tahoma"/>
          <w:sz w:val="18"/>
          <w:szCs w:val="18"/>
          <w:lang w:eastAsia="en-US"/>
        </w:rPr>
        <w:t>For a more detailed description of the disease and its epidemiology</w:t>
      </w:r>
      <w:r w:rsidR="00782495" w:rsidRPr="009F7ABE">
        <w:rPr>
          <w:rFonts w:eastAsiaTheme="minorHAnsi" w:cs="Tahoma"/>
          <w:sz w:val="18"/>
          <w:szCs w:val="18"/>
          <w:lang w:eastAsia="en-US"/>
        </w:rPr>
        <w:t>,</w:t>
      </w:r>
      <w:r w:rsidR="004B523C" w:rsidRPr="009F7ABE">
        <w:rPr>
          <w:rFonts w:eastAsiaTheme="minorHAnsi" w:cs="Tahoma"/>
          <w:sz w:val="18"/>
          <w:szCs w:val="18"/>
          <w:lang w:eastAsia="en-US"/>
        </w:rPr>
        <w:t xml:space="preserve"> please click</w:t>
      </w:r>
      <w:r w:rsidR="004B523C" w:rsidRPr="009F7ABE">
        <w:rPr>
          <w:rFonts w:cs="Tahoma"/>
          <w:sz w:val="18"/>
          <w:szCs w:val="18"/>
        </w:rPr>
        <w:t xml:space="preserve"> </w:t>
      </w:r>
      <w:hyperlink r:id="rId16" w:history="1">
        <w:r w:rsidR="004B523C" w:rsidRPr="009F7ABE">
          <w:rPr>
            <w:rStyle w:val="Hyperlink"/>
            <w:i/>
            <w:szCs w:val="18"/>
          </w:rPr>
          <w:t>here</w:t>
        </w:r>
      </w:hyperlink>
      <w:r w:rsidR="004B523C" w:rsidRPr="009F7ABE">
        <w:rPr>
          <w:rStyle w:val="Hyperlink"/>
          <w:i/>
          <w:szCs w:val="18"/>
        </w:rPr>
        <w:t xml:space="preserve">.  </w:t>
      </w:r>
    </w:p>
    <w:p w14:paraId="2BBF6E26" w14:textId="77777777" w:rsidR="004B523C" w:rsidRPr="009F7ABE" w:rsidRDefault="004B523C" w:rsidP="004B523C">
      <w:pPr>
        <w:pStyle w:val="EC-Title-6"/>
        <w:rPr>
          <w:rFonts w:cs="Tahoma"/>
        </w:rPr>
      </w:pPr>
      <w:bookmarkStart w:id="20" w:name="_Toc175577670"/>
      <w:r w:rsidRPr="009F7ABE">
        <w:rPr>
          <w:rFonts w:cs="Tahoma"/>
        </w:rPr>
        <w:t>Data</w:t>
      </w:r>
      <w:bookmarkEnd w:id="20"/>
    </w:p>
    <w:p w14:paraId="69F17700" w14:textId="3F4F733C" w:rsidR="004B523C" w:rsidRPr="009F7ABE" w:rsidRDefault="004B523C" w:rsidP="0057427A">
      <w:pPr>
        <w:pStyle w:val="EC-Para"/>
        <w:jc w:val="both"/>
        <w:rPr>
          <w:rFonts w:cs="Tahoma"/>
        </w:rPr>
      </w:pPr>
      <w:r w:rsidRPr="009F7ABE">
        <w:rPr>
          <w:rFonts w:cs="Tahoma"/>
        </w:rPr>
        <w:t>The Surveillance Atlas of Infectious</w:t>
      </w:r>
      <w:r w:rsidR="00CF41B7" w:rsidRPr="009F7ABE">
        <w:rPr>
          <w:rFonts w:cs="Tahoma"/>
        </w:rPr>
        <w:t xml:space="preserve"> Dise</w:t>
      </w:r>
      <w:r w:rsidR="00994920" w:rsidRPr="009F7ABE">
        <w:rPr>
          <w:rFonts w:cs="Tahoma"/>
        </w:rPr>
        <w:t>ases displays data on gono</w:t>
      </w:r>
      <w:r w:rsidR="008149F1">
        <w:rPr>
          <w:rFonts w:cs="Tahoma"/>
        </w:rPr>
        <w:t>coccal</w:t>
      </w:r>
      <w:r w:rsidRPr="009F7ABE">
        <w:rPr>
          <w:rFonts w:cs="Tahoma"/>
        </w:rPr>
        <w:t xml:space="preserve"> </w:t>
      </w:r>
      <w:r w:rsidR="003363E7" w:rsidRPr="009F7ABE">
        <w:rPr>
          <w:rFonts w:cs="Tahoma"/>
        </w:rPr>
        <w:t xml:space="preserve">infections </w:t>
      </w:r>
      <w:r w:rsidRPr="009F7ABE">
        <w:rPr>
          <w:rFonts w:cs="Tahoma"/>
        </w:rPr>
        <w:t>reported by the EU/EEA Member States.</w:t>
      </w:r>
      <w:r w:rsidR="00345DB7" w:rsidRPr="009F7ABE">
        <w:rPr>
          <w:rFonts w:cs="Tahoma"/>
        </w:rPr>
        <w:t xml:space="preserve"> </w:t>
      </w:r>
      <w:r w:rsidR="0057427A" w:rsidRPr="009F7ABE">
        <w:rPr>
          <w:rFonts w:cs="Tahoma"/>
        </w:rPr>
        <w:t>The European Centre for Disease Prevention and Control (ECDC) has been coordinating the enhanced surveillance of sexually transmitted infections in Europe since 2009.</w:t>
      </w:r>
    </w:p>
    <w:p w14:paraId="4B5F67F4" w14:textId="150010B0" w:rsidR="00032ADB" w:rsidRPr="009F7ABE" w:rsidRDefault="009E267B" w:rsidP="001E384B">
      <w:pPr>
        <w:autoSpaceDE w:val="0"/>
        <w:autoSpaceDN w:val="0"/>
        <w:adjustRightInd w:val="0"/>
        <w:spacing w:after="120"/>
        <w:jc w:val="both"/>
        <w:rPr>
          <w:rFonts w:eastAsia="Arial Unicode MS" w:cs="Tahoma"/>
          <w:kern w:val="22"/>
          <w:sz w:val="18"/>
          <w:szCs w:val="18"/>
        </w:rPr>
      </w:pPr>
      <w:r w:rsidRPr="009F7ABE">
        <w:rPr>
          <w:rFonts w:eastAsia="Arial Unicode MS" w:cs="Tahoma"/>
          <w:kern w:val="22"/>
          <w:sz w:val="18"/>
          <w:szCs w:val="18"/>
        </w:rPr>
        <w:t xml:space="preserve">Cases are </w:t>
      </w:r>
      <w:r w:rsidR="00A11F6B">
        <w:rPr>
          <w:rFonts w:eastAsia="Arial Unicode MS" w:cs="Tahoma"/>
          <w:kern w:val="22"/>
          <w:sz w:val="18"/>
          <w:szCs w:val="18"/>
        </w:rPr>
        <w:t>classified according to the 2018</w:t>
      </w:r>
      <w:r w:rsidRPr="009F7ABE">
        <w:rPr>
          <w:rFonts w:eastAsia="Arial Unicode MS" w:cs="Tahoma"/>
          <w:kern w:val="22"/>
          <w:sz w:val="18"/>
          <w:szCs w:val="18"/>
        </w:rPr>
        <w:t xml:space="preserve"> EU case definition for gonorrhoea</w:t>
      </w:r>
      <w:r w:rsidR="00D253A0" w:rsidRPr="009F7ABE">
        <w:rPr>
          <w:rStyle w:val="FootnoteReference"/>
          <w:rFonts w:eastAsia="Arial Unicode MS" w:cs="Tahoma"/>
          <w:kern w:val="22"/>
          <w:sz w:val="18"/>
          <w:szCs w:val="18"/>
        </w:rPr>
        <w:footnoteReference w:id="4"/>
      </w:r>
      <w:r w:rsidRPr="009F7ABE">
        <w:rPr>
          <w:rFonts w:eastAsia="Arial Unicode MS" w:cs="Tahoma"/>
          <w:kern w:val="22"/>
          <w:sz w:val="18"/>
          <w:szCs w:val="18"/>
        </w:rPr>
        <w:t xml:space="preserve">. </w:t>
      </w:r>
      <w:r w:rsidR="00D034B6">
        <w:rPr>
          <w:rFonts w:eastAsia="Arial Unicode MS" w:cs="Tahoma"/>
          <w:kern w:val="22"/>
          <w:sz w:val="18"/>
          <w:szCs w:val="18"/>
        </w:rPr>
        <w:t xml:space="preserve">The case definition has not changed from the previous 2012 version. </w:t>
      </w:r>
      <w:r w:rsidRPr="009F7ABE">
        <w:rPr>
          <w:rFonts w:eastAsia="Arial Unicode MS" w:cs="Tahoma"/>
          <w:kern w:val="22"/>
          <w:sz w:val="18"/>
          <w:szCs w:val="18"/>
        </w:rPr>
        <w:t xml:space="preserve">Only confirmed cases are reported. </w:t>
      </w:r>
    </w:p>
    <w:p w14:paraId="699A3C0C" w14:textId="0BE96058" w:rsidR="00BE56EE" w:rsidRPr="009F7ABE" w:rsidRDefault="001E384B" w:rsidP="00BE56EE">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b/>
          <w:bCs/>
          <w:color w:val="000000"/>
          <w:sz w:val="18"/>
          <w:szCs w:val="18"/>
          <w:lang w:eastAsia="en-US"/>
        </w:rPr>
        <w:t>Clinical c</w:t>
      </w:r>
      <w:r w:rsidR="00BE56EE" w:rsidRPr="009F7ABE">
        <w:rPr>
          <w:rFonts w:eastAsiaTheme="minorHAnsi" w:cs="Tahoma"/>
          <w:b/>
          <w:bCs/>
          <w:color w:val="000000"/>
          <w:sz w:val="18"/>
          <w:szCs w:val="18"/>
          <w:lang w:eastAsia="en-US"/>
        </w:rPr>
        <w:t xml:space="preserve">riteria </w:t>
      </w:r>
    </w:p>
    <w:p w14:paraId="1C0E3A33"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Any person with at least one of the following eight: </w:t>
      </w:r>
    </w:p>
    <w:p w14:paraId="68DB697A"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Urethritis </w:t>
      </w:r>
    </w:p>
    <w:p w14:paraId="446A5AF1"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Acute salpingitis </w:t>
      </w:r>
    </w:p>
    <w:p w14:paraId="3F2F9F6D"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Pelvic inflammatory disease </w:t>
      </w:r>
    </w:p>
    <w:p w14:paraId="2103E434"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Cervicitis </w:t>
      </w:r>
    </w:p>
    <w:p w14:paraId="2D565CEF"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Epididymitis </w:t>
      </w:r>
    </w:p>
    <w:p w14:paraId="6537FF95"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Proctitis </w:t>
      </w:r>
    </w:p>
    <w:p w14:paraId="3054F143"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Pharyngitis </w:t>
      </w:r>
    </w:p>
    <w:p w14:paraId="45B87407"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Arthritis </w:t>
      </w:r>
    </w:p>
    <w:p w14:paraId="5047FE78"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OR </w:t>
      </w:r>
    </w:p>
    <w:p w14:paraId="39714934" w14:textId="3B6075D9"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Any </w:t>
      </w:r>
      <w:r w:rsidR="009F7ABE" w:rsidRPr="009F7ABE">
        <w:rPr>
          <w:rFonts w:eastAsiaTheme="minorHAnsi" w:cs="Tahoma"/>
          <w:color w:val="000000"/>
          <w:sz w:val="18"/>
          <w:szCs w:val="18"/>
          <w:lang w:eastAsia="en-US"/>
        </w:rPr>
        <w:t>new-born</w:t>
      </w:r>
      <w:r w:rsidRPr="009F7ABE">
        <w:rPr>
          <w:rFonts w:eastAsiaTheme="minorHAnsi" w:cs="Tahoma"/>
          <w:color w:val="000000"/>
          <w:sz w:val="18"/>
          <w:szCs w:val="18"/>
          <w:lang w:eastAsia="en-US"/>
        </w:rPr>
        <w:t xml:space="preserve"> child with conjunctivitis </w:t>
      </w:r>
    </w:p>
    <w:p w14:paraId="488EB575" w14:textId="39F67BDC" w:rsidR="00BE56EE" w:rsidRPr="009F7ABE" w:rsidRDefault="001E384B"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b/>
          <w:bCs/>
          <w:color w:val="000000"/>
          <w:sz w:val="18"/>
          <w:szCs w:val="18"/>
          <w:lang w:eastAsia="en-US"/>
        </w:rPr>
        <w:t>Laboratory c</w:t>
      </w:r>
      <w:r w:rsidR="00BE56EE" w:rsidRPr="009F7ABE">
        <w:rPr>
          <w:rFonts w:eastAsiaTheme="minorHAnsi" w:cs="Tahoma"/>
          <w:b/>
          <w:bCs/>
          <w:color w:val="000000"/>
          <w:sz w:val="18"/>
          <w:szCs w:val="18"/>
          <w:lang w:eastAsia="en-US"/>
        </w:rPr>
        <w:t xml:space="preserve">riteria </w:t>
      </w:r>
    </w:p>
    <w:p w14:paraId="203B04BE"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At least one of the following four: </w:t>
      </w:r>
    </w:p>
    <w:p w14:paraId="1331B64E"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Isolation of </w:t>
      </w:r>
      <w:r w:rsidRPr="009F7ABE">
        <w:rPr>
          <w:rFonts w:eastAsiaTheme="minorHAnsi" w:cs="Tahoma"/>
          <w:i/>
          <w:iCs/>
          <w:color w:val="000000"/>
          <w:sz w:val="18"/>
          <w:szCs w:val="18"/>
          <w:lang w:eastAsia="en-US"/>
        </w:rPr>
        <w:t xml:space="preserve">Neisseria gonorrhoeae </w:t>
      </w:r>
      <w:r w:rsidRPr="009F7ABE">
        <w:rPr>
          <w:rFonts w:eastAsiaTheme="minorHAnsi" w:cs="Tahoma"/>
          <w:color w:val="000000"/>
          <w:sz w:val="18"/>
          <w:szCs w:val="18"/>
          <w:lang w:eastAsia="en-US"/>
        </w:rPr>
        <w:t xml:space="preserve">from a clinical specimen </w:t>
      </w:r>
    </w:p>
    <w:p w14:paraId="752B9A89"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Detection of </w:t>
      </w:r>
      <w:r w:rsidRPr="009F7ABE">
        <w:rPr>
          <w:rFonts w:eastAsiaTheme="minorHAnsi" w:cs="Tahoma"/>
          <w:i/>
          <w:iCs/>
          <w:color w:val="000000"/>
          <w:sz w:val="18"/>
          <w:szCs w:val="18"/>
          <w:lang w:eastAsia="en-US"/>
        </w:rPr>
        <w:t xml:space="preserve">Neisseria gonorrhoeae </w:t>
      </w:r>
      <w:r w:rsidRPr="009F7ABE">
        <w:rPr>
          <w:rFonts w:eastAsiaTheme="minorHAnsi" w:cs="Tahoma"/>
          <w:color w:val="000000"/>
          <w:sz w:val="18"/>
          <w:szCs w:val="18"/>
          <w:lang w:eastAsia="en-US"/>
        </w:rPr>
        <w:t xml:space="preserve">nucleic acid in a clinical specimen </w:t>
      </w:r>
    </w:p>
    <w:p w14:paraId="24D46F8F" w14:textId="7777777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 Demonstration of </w:t>
      </w:r>
      <w:r w:rsidRPr="009F7ABE">
        <w:rPr>
          <w:rFonts w:eastAsiaTheme="minorHAnsi" w:cs="Tahoma"/>
          <w:i/>
          <w:iCs/>
          <w:color w:val="000000"/>
          <w:sz w:val="18"/>
          <w:szCs w:val="18"/>
          <w:lang w:eastAsia="en-US"/>
        </w:rPr>
        <w:t xml:space="preserve">Neisseria gonorrhoeae </w:t>
      </w:r>
      <w:r w:rsidRPr="009F7ABE">
        <w:rPr>
          <w:rFonts w:eastAsiaTheme="minorHAnsi" w:cs="Tahoma"/>
          <w:color w:val="000000"/>
          <w:sz w:val="18"/>
          <w:szCs w:val="18"/>
          <w:lang w:eastAsia="en-US"/>
        </w:rPr>
        <w:t xml:space="preserve">by a non-amplified nucleic acid probe test in a clinical specimen </w:t>
      </w:r>
    </w:p>
    <w:p w14:paraId="1C40A794" w14:textId="3AF7EAF7" w:rsidR="008C375D" w:rsidRPr="009F7ABE" w:rsidRDefault="008C375D"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Microscopic detection of intracellular gram</w:t>
      </w:r>
      <w:r w:rsidR="00782495" w:rsidRPr="009F7ABE">
        <w:rPr>
          <w:rFonts w:eastAsiaTheme="minorHAnsi" w:cs="Tahoma"/>
          <w:color w:val="000000"/>
          <w:sz w:val="18"/>
          <w:szCs w:val="18"/>
          <w:lang w:eastAsia="en-US"/>
        </w:rPr>
        <w:t>-</w:t>
      </w:r>
      <w:r w:rsidRPr="009F7ABE">
        <w:rPr>
          <w:rFonts w:eastAsiaTheme="minorHAnsi" w:cs="Tahoma"/>
          <w:color w:val="000000"/>
          <w:sz w:val="18"/>
          <w:szCs w:val="18"/>
          <w:lang w:eastAsia="en-US"/>
        </w:rPr>
        <w:t xml:space="preserve">negative </w:t>
      </w:r>
      <w:proofErr w:type="spellStart"/>
      <w:r w:rsidRPr="009F7ABE">
        <w:rPr>
          <w:rFonts w:eastAsiaTheme="minorHAnsi" w:cs="Tahoma"/>
          <w:color w:val="000000"/>
          <w:sz w:val="18"/>
          <w:szCs w:val="18"/>
          <w:lang w:eastAsia="en-US"/>
        </w:rPr>
        <w:t>diploccocci</w:t>
      </w:r>
      <w:proofErr w:type="spellEnd"/>
      <w:r w:rsidRPr="009F7ABE">
        <w:rPr>
          <w:rFonts w:eastAsiaTheme="minorHAnsi" w:cs="Tahoma"/>
          <w:color w:val="000000"/>
          <w:sz w:val="18"/>
          <w:szCs w:val="18"/>
          <w:lang w:eastAsia="en-US"/>
        </w:rPr>
        <w:t xml:space="preserve"> in a urethral male specimen </w:t>
      </w:r>
    </w:p>
    <w:p w14:paraId="469BA1AB" w14:textId="157AFB28" w:rsidR="00BE56EE" w:rsidRPr="009F7ABE" w:rsidRDefault="001E384B"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b/>
          <w:bCs/>
          <w:color w:val="000000"/>
          <w:sz w:val="18"/>
          <w:szCs w:val="18"/>
          <w:lang w:eastAsia="en-US"/>
        </w:rPr>
        <w:t>Epidemiological c</w:t>
      </w:r>
      <w:r w:rsidR="00BE56EE" w:rsidRPr="009F7ABE">
        <w:rPr>
          <w:rFonts w:eastAsiaTheme="minorHAnsi" w:cs="Tahoma"/>
          <w:b/>
          <w:bCs/>
          <w:color w:val="000000"/>
          <w:sz w:val="18"/>
          <w:szCs w:val="18"/>
          <w:lang w:eastAsia="en-US"/>
        </w:rPr>
        <w:t xml:space="preserve">riteria </w:t>
      </w:r>
    </w:p>
    <w:p w14:paraId="2E9CA6AF" w14:textId="2818C39C" w:rsidR="00F015EE" w:rsidRPr="009F7ABE" w:rsidRDefault="00AD69B9" w:rsidP="00BE56EE">
      <w:pPr>
        <w:autoSpaceDE w:val="0"/>
        <w:autoSpaceDN w:val="0"/>
        <w:adjustRightInd w:val="0"/>
        <w:spacing w:before="60" w:after="60"/>
        <w:rPr>
          <w:rFonts w:eastAsiaTheme="minorHAnsi" w:cs="Tahoma"/>
          <w:b/>
          <w:bCs/>
          <w:color w:val="000000"/>
          <w:sz w:val="18"/>
          <w:szCs w:val="18"/>
          <w:lang w:eastAsia="en-US"/>
        </w:rPr>
      </w:pPr>
      <w:r w:rsidRPr="009F7ABE">
        <w:rPr>
          <w:rFonts w:eastAsiaTheme="minorHAnsi" w:cs="Tahoma"/>
          <w:color w:val="000000"/>
          <w:sz w:val="18"/>
          <w:szCs w:val="18"/>
          <w:lang w:eastAsia="en-US"/>
        </w:rPr>
        <w:t xml:space="preserve">An epidemiological link by </w:t>
      </w:r>
      <w:r w:rsidR="001243B8" w:rsidRPr="009F7ABE">
        <w:rPr>
          <w:rFonts w:eastAsiaTheme="minorHAnsi" w:cs="Tahoma"/>
          <w:color w:val="000000"/>
          <w:sz w:val="18"/>
          <w:szCs w:val="18"/>
          <w:lang w:eastAsia="en-US"/>
        </w:rPr>
        <w:t>human-to-human</w:t>
      </w:r>
      <w:r w:rsidRPr="009F7ABE">
        <w:rPr>
          <w:rFonts w:eastAsiaTheme="minorHAnsi" w:cs="Tahoma"/>
          <w:color w:val="000000"/>
          <w:sz w:val="18"/>
          <w:szCs w:val="18"/>
          <w:lang w:eastAsia="en-US"/>
        </w:rPr>
        <w:t xml:space="preserve"> transmission (sexual contact or vertical transmission)</w:t>
      </w:r>
      <w:r w:rsidRPr="009F7ABE">
        <w:rPr>
          <w:rFonts w:eastAsiaTheme="minorHAnsi" w:cs="Tahoma"/>
          <w:color w:val="000000"/>
          <w:sz w:val="18"/>
          <w:szCs w:val="18"/>
          <w:lang w:eastAsia="en-US"/>
        </w:rPr>
        <w:cr/>
      </w:r>
    </w:p>
    <w:p w14:paraId="2183C050" w14:textId="5120828D" w:rsidR="00BE56EE" w:rsidRPr="009F7ABE" w:rsidRDefault="001E384B" w:rsidP="00F015EE">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b/>
          <w:bCs/>
          <w:color w:val="000000"/>
          <w:sz w:val="18"/>
          <w:szCs w:val="18"/>
          <w:lang w:eastAsia="en-US"/>
        </w:rPr>
        <w:t>Case c</w:t>
      </w:r>
      <w:r w:rsidR="00BE56EE" w:rsidRPr="009F7ABE">
        <w:rPr>
          <w:rFonts w:eastAsiaTheme="minorHAnsi" w:cs="Tahoma"/>
          <w:b/>
          <w:bCs/>
          <w:color w:val="000000"/>
          <w:sz w:val="18"/>
          <w:szCs w:val="18"/>
          <w:lang w:eastAsia="en-US"/>
        </w:rPr>
        <w:t xml:space="preserve">lassification </w:t>
      </w:r>
    </w:p>
    <w:p w14:paraId="75E293A3" w14:textId="5DAF02EE" w:rsidR="00AD69B9" w:rsidRPr="009F7ABE" w:rsidRDefault="00AD69B9" w:rsidP="00F015EE">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 xml:space="preserve">A. </w:t>
      </w:r>
      <w:r w:rsidRPr="009F7ABE">
        <w:rPr>
          <w:rFonts w:eastAsiaTheme="minorHAnsi" w:cs="Tahoma"/>
          <w:b/>
          <w:color w:val="000000"/>
          <w:sz w:val="18"/>
          <w:szCs w:val="18"/>
          <w:lang w:eastAsia="en-US"/>
        </w:rPr>
        <w:t>Possible case</w:t>
      </w:r>
      <w:r w:rsidR="00C56103" w:rsidRPr="009F7ABE">
        <w:rPr>
          <w:rFonts w:eastAsiaTheme="minorHAnsi" w:cs="Tahoma"/>
          <w:b/>
          <w:color w:val="000000"/>
          <w:sz w:val="18"/>
          <w:szCs w:val="18"/>
          <w:lang w:eastAsia="en-US"/>
        </w:rPr>
        <w:t xml:space="preserve">: </w:t>
      </w:r>
      <w:r w:rsidRPr="009F7ABE">
        <w:rPr>
          <w:rFonts w:eastAsiaTheme="minorHAnsi" w:cs="Tahoma"/>
          <w:color w:val="000000"/>
          <w:sz w:val="18"/>
          <w:szCs w:val="18"/>
          <w:lang w:eastAsia="en-US"/>
        </w:rPr>
        <w:t>NA</w:t>
      </w:r>
    </w:p>
    <w:p w14:paraId="4987591D" w14:textId="2BEE5DF1" w:rsidR="008C375D" w:rsidRPr="009F7ABE" w:rsidRDefault="00AD69B9" w:rsidP="008C375D">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B</w:t>
      </w:r>
      <w:r w:rsidR="00BE56EE" w:rsidRPr="009F7ABE">
        <w:rPr>
          <w:rFonts w:eastAsiaTheme="minorHAnsi" w:cs="Tahoma"/>
          <w:color w:val="000000"/>
          <w:sz w:val="18"/>
          <w:szCs w:val="18"/>
          <w:lang w:eastAsia="en-US"/>
        </w:rPr>
        <w:t xml:space="preserve">. </w:t>
      </w:r>
      <w:r w:rsidR="00C56103" w:rsidRPr="009F7ABE">
        <w:rPr>
          <w:rFonts w:eastAsiaTheme="minorHAnsi" w:cs="Tahoma"/>
          <w:b/>
          <w:bCs/>
          <w:color w:val="000000"/>
          <w:sz w:val="18"/>
          <w:szCs w:val="18"/>
          <w:lang w:eastAsia="en-US"/>
        </w:rPr>
        <w:t xml:space="preserve">Probable case: </w:t>
      </w:r>
      <w:r w:rsidR="008C375D" w:rsidRPr="009F7ABE">
        <w:rPr>
          <w:rFonts w:eastAsiaTheme="minorHAnsi" w:cs="Tahoma"/>
          <w:color w:val="000000"/>
          <w:sz w:val="18"/>
          <w:szCs w:val="18"/>
          <w:lang w:eastAsia="en-US"/>
        </w:rPr>
        <w:t xml:space="preserve">Any person meeting the clinical criteria and with an epidemiological link </w:t>
      </w:r>
    </w:p>
    <w:p w14:paraId="3EBC3F4F" w14:textId="07F45425" w:rsidR="00F015EE" w:rsidRPr="009F7ABE" w:rsidRDefault="00AD69B9" w:rsidP="00C56103">
      <w:pPr>
        <w:autoSpaceDE w:val="0"/>
        <w:autoSpaceDN w:val="0"/>
        <w:adjustRightInd w:val="0"/>
        <w:spacing w:before="60" w:after="60"/>
        <w:rPr>
          <w:rFonts w:eastAsiaTheme="minorHAnsi" w:cs="Tahoma"/>
          <w:color w:val="000000"/>
          <w:sz w:val="18"/>
          <w:szCs w:val="18"/>
          <w:lang w:eastAsia="en-US"/>
        </w:rPr>
      </w:pPr>
      <w:r w:rsidRPr="009F7ABE">
        <w:rPr>
          <w:rFonts w:eastAsiaTheme="minorHAnsi" w:cs="Tahoma"/>
          <w:color w:val="000000"/>
          <w:sz w:val="18"/>
          <w:szCs w:val="18"/>
          <w:lang w:eastAsia="en-US"/>
        </w:rPr>
        <w:t>C</w:t>
      </w:r>
      <w:r w:rsidR="00F015EE" w:rsidRPr="009F7ABE">
        <w:rPr>
          <w:rFonts w:eastAsiaTheme="minorHAnsi" w:cs="Tahoma"/>
          <w:color w:val="000000"/>
          <w:sz w:val="18"/>
          <w:szCs w:val="18"/>
          <w:lang w:eastAsia="en-US"/>
        </w:rPr>
        <w:t xml:space="preserve">. </w:t>
      </w:r>
      <w:r w:rsidR="00C56103" w:rsidRPr="009F7ABE">
        <w:rPr>
          <w:rFonts w:eastAsiaTheme="minorHAnsi" w:cs="Tahoma"/>
          <w:b/>
          <w:bCs/>
          <w:color w:val="000000"/>
          <w:sz w:val="18"/>
          <w:szCs w:val="18"/>
          <w:lang w:eastAsia="en-US"/>
        </w:rPr>
        <w:t xml:space="preserve">Confirmed case: </w:t>
      </w:r>
      <w:r w:rsidRPr="009F7ABE">
        <w:rPr>
          <w:rFonts w:eastAsiaTheme="minorHAnsi" w:cs="Tahoma"/>
          <w:color w:val="000000"/>
          <w:sz w:val="18"/>
          <w:szCs w:val="18"/>
          <w:lang w:eastAsia="en-US"/>
        </w:rPr>
        <w:t>Any person meeting the laboratory criteria</w:t>
      </w:r>
      <w:r w:rsidRPr="009F7ABE">
        <w:rPr>
          <w:rFonts w:eastAsiaTheme="minorHAnsi" w:cs="Tahoma"/>
          <w:color w:val="000000"/>
          <w:sz w:val="18"/>
          <w:szCs w:val="18"/>
          <w:lang w:eastAsia="en-US"/>
        </w:rPr>
        <w:cr/>
      </w:r>
    </w:p>
    <w:p w14:paraId="457E5354" w14:textId="77777777" w:rsidR="001E384B" w:rsidRPr="009F7ABE" w:rsidRDefault="001E384B" w:rsidP="002F4D1E">
      <w:pPr>
        <w:pStyle w:val="EC-Title-6"/>
        <w:keepNext/>
        <w:rPr>
          <w:rFonts w:cs="Tahoma"/>
          <w:b w:val="0"/>
        </w:rPr>
      </w:pPr>
      <w:bookmarkStart w:id="21" w:name="_Toc175577671"/>
      <w:r w:rsidRPr="009F7ABE">
        <w:rPr>
          <w:rFonts w:cs="Tahoma"/>
          <w:b w:val="0"/>
        </w:rPr>
        <w:lastRenderedPageBreak/>
        <w:t>Data collection and analysis</w:t>
      </w:r>
      <w:bookmarkEnd w:id="21"/>
      <w:r w:rsidRPr="009F7ABE">
        <w:rPr>
          <w:rFonts w:cs="Tahoma"/>
          <w:b w:val="0"/>
        </w:rPr>
        <w:t xml:space="preserve"> </w:t>
      </w:r>
    </w:p>
    <w:p w14:paraId="77665D4F" w14:textId="012D89E2" w:rsidR="004B523C" w:rsidRPr="009F7ABE" w:rsidRDefault="004B523C" w:rsidP="004B523C">
      <w:pPr>
        <w:pStyle w:val="EC-Para"/>
        <w:spacing w:line="240" w:lineRule="auto"/>
        <w:jc w:val="both"/>
        <w:rPr>
          <w:rFonts w:cs="Tahoma"/>
        </w:rPr>
      </w:pPr>
      <w:r w:rsidRPr="009F7ABE">
        <w:rPr>
          <w:rFonts w:cs="Tahoma"/>
        </w:rPr>
        <w:t xml:space="preserve">Data are collected on an annual basis. The Surveillance Atlas indicators </w:t>
      </w:r>
      <w:r w:rsidR="009F7ABE">
        <w:rPr>
          <w:rFonts w:cs="Tahoma"/>
        </w:rPr>
        <w:t>are</w:t>
      </w:r>
      <w:r w:rsidR="009F7ABE" w:rsidRPr="009F7ABE">
        <w:rPr>
          <w:rFonts w:cs="Tahoma"/>
        </w:rPr>
        <w:t xml:space="preserve"> </w:t>
      </w:r>
      <w:r w:rsidRPr="009F7ABE">
        <w:rPr>
          <w:rFonts w:cs="Tahoma"/>
        </w:rPr>
        <w:t xml:space="preserve">calculated </w:t>
      </w:r>
      <w:r w:rsidR="00AA1A39" w:rsidRPr="009F7ABE">
        <w:rPr>
          <w:rFonts w:cs="Tahoma"/>
        </w:rPr>
        <w:t xml:space="preserve">for cases </w:t>
      </w:r>
      <w:r w:rsidRPr="009F7ABE">
        <w:rPr>
          <w:rFonts w:cs="Tahoma"/>
        </w:rPr>
        <w:t xml:space="preserve">up to the end of </w:t>
      </w:r>
      <w:r w:rsidR="000D37D6">
        <w:rPr>
          <w:rFonts w:cs="Tahoma"/>
        </w:rPr>
        <w:t>2023</w:t>
      </w:r>
      <w:r w:rsidRPr="009F7ABE">
        <w:rPr>
          <w:rFonts w:cs="Tahoma"/>
        </w:rPr>
        <w:t xml:space="preserve">. </w:t>
      </w:r>
      <w:r w:rsidR="00AA1A39" w:rsidRPr="009F7ABE">
        <w:rPr>
          <w:rFonts w:cs="Tahoma"/>
        </w:rPr>
        <w:t>Prior to analysis, data are validated with nominated data providers in each EU/EEA country. Data from countries with sentinel surveillance systems are excluded from</w:t>
      </w:r>
      <w:r w:rsidRPr="009F7ABE">
        <w:t xml:space="preserve"> the calculation of notification rates</w:t>
      </w:r>
      <w:r w:rsidR="00AA1A39" w:rsidRPr="009F7ABE">
        <w:t>. C</w:t>
      </w:r>
      <w:r w:rsidRPr="009F7ABE">
        <w:t xml:space="preserve">ountry population denominators by age group </w:t>
      </w:r>
      <w:r w:rsidR="00AA1A39" w:rsidRPr="009F7ABE">
        <w:t xml:space="preserve">and gender </w:t>
      </w:r>
      <w:r w:rsidRPr="009F7ABE">
        <w:t>were obtained from Eurostat</w:t>
      </w:r>
      <w:r w:rsidRPr="009F7ABE">
        <w:rPr>
          <w:rStyle w:val="FootnoteReference"/>
        </w:rPr>
        <w:footnoteReference w:id="5"/>
      </w:r>
      <w:r w:rsidR="00AA1A39" w:rsidRPr="009F7ABE">
        <w:t xml:space="preserve"> for the calculation of notification rates</w:t>
      </w:r>
      <w:r w:rsidRPr="009F7ABE">
        <w:t>.</w:t>
      </w:r>
      <w:r w:rsidRPr="009F7ABE">
        <w:rPr>
          <w:rFonts w:cstheme="minorHAnsi"/>
        </w:rPr>
        <w:t xml:space="preserve"> Note that the data published in the Surveillance Atlas might differ from figures in national reports due to different times of reporting, inclusion of cases by different case definitions and use of different denominators.</w:t>
      </w:r>
    </w:p>
    <w:p w14:paraId="57F5B32E" w14:textId="369F67CD" w:rsidR="004B523C" w:rsidRPr="009F7ABE" w:rsidRDefault="005622B8" w:rsidP="004B523C">
      <w:pPr>
        <w:pStyle w:val="EC-Para"/>
        <w:jc w:val="both"/>
        <w:rPr>
          <w:rFonts w:cs="Tahoma"/>
        </w:rPr>
      </w:pPr>
      <w:r w:rsidRPr="005622B8">
        <w:t xml:space="preserve">Indicators were not calculated for variables for which a threshold level of completeness for a given geographical resolution (e.g. country, EU/EEA) and </w:t>
      </w:r>
      <w:proofErr w:type="gramStart"/>
      <w:r w:rsidRPr="005622B8">
        <w:t>time period</w:t>
      </w:r>
      <w:proofErr w:type="gramEnd"/>
      <w:r w:rsidRPr="005622B8">
        <w:t xml:space="preserve"> has not been reached. </w:t>
      </w:r>
      <w:r w:rsidR="004B523C" w:rsidRPr="009F7ABE">
        <w:rPr>
          <w:rFonts w:cs="Tahoma"/>
        </w:rPr>
        <w:t xml:space="preserve">Surveillance systems across the EU/EEA countries are heterogeneous and a surveillance systems overview is displayed </w:t>
      </w:r>
      <w:r w:rsidR="00C1552E">
        <w:rPr>
          <w:rFonts w:cs="Tahoma"/>
        </w:rPr>
        <w:t>below</w:t>
      </w:r>
      <w:r w:rsidR="004B523C" w:rsidRPr="009F7ABE">
        <w:rPr>
          <w:rFonts w:cs="Tahoma"/>
        </w:rPr>
        <w:t>.</w:t>
      </w:r>
    </w:p>
    <w:p w14:paraId="24822187" w14:textId="77777777" w:rsidR="00291FCE" w:rsidRPr="009F7ABE" w:rsidRDefault="00291FCE" w:rsidP="00291FCE">
      <w:pPr>
        <w:pStyle w:val="EC-Title-6"/>
        <w:rPr>
          <w:rFonts w:cs="Tahoma"/>
          <w:b w:val="0"/>
        </w:rPr>
      </w:pPr>
      <w:bookmarkStart w:id="22" w:name="_Toc175577672"/>
      <w:r w:rsidRPr="009F7ABE">
        <w:rPr>
          <w:rFonts w:cs="Tahoma"/>
          <w:b w:val="0"/>
        </w:rPr>
        <w:t>Surveillance Atlas indicators</w:t>
      </w:r>
      <w:bookmarkEnd w:id="22"/>
    </w:p>
    <w:p w14:paraId="6178CF05" w14:textId="77777777" w:rsidR="002A3392" w:rsidRDefault="002A3392" w:rsidP="002A3392">
      <w:pPr>
        <w:pStyle w:val="EC-Para"/>
        <w:rPr>
          <w:rFonts w:cs="Tahoma"/>
        </w:rPr>
      </w:pPr>
      <w:r>
        <w:rPr>
          <w:rFonts w:cs="Tahoma"/>
        </w:rPr>
        <w:t xml:space="preserve">All Surveillance Atlas indicators for sexually transmitted infections are classified according to the “date of diagnosis”. If the “date of diagnosis” is not reported, the “date used for statistics” is used instead. </w:t>
      </w:r>
    </w:p>
    <w:p w14:paraId="6504FC31" w14:textId="10718C6D" w:rsidR="004B523C" w:rsidRPr="009F7ABE" w:rsidRDefault="004B523C" w:rsidP="004B523C">
      <w:pPr>
        <w:pStyle w:val="EC-Para"/>
        <w:rPr>
          <w:rFonts w:cs="Tahoma"/>
        </w:rPr>
      </w:pPr>
      <w:r w:rsidRPr="009F7ABE">
        <w:rPr>
          <w:rFonts w:cs="Tahoma"/>
        </w:rPr>
        <w:t>The Surveillance Atl</w:t>
      </w:r>
      <w:r w:rsidR="00994920" w:rsidRPr="009F7ABE">
        <w:rPr>
          <w:rFonts w:cs="Tahoma"/>
        </w:rPr>
        <w:t>as indicators for gonorrhoea</w:t>
      </w:r>
      <w:r w:rsidRPr="009F7ABE">
        <w:rPr>
          <w:rFonts w:cs="Tahoma"/>
        </w:rPr>
        <w:t xml:space="preserve"> are:</w:t>
      </w:r>
    </w:p>
    <w:p w14:paraId="0B4BBE05" w14:textId="4B42C75F" w:rsidR="004B523C" w:rsidRPr="009F7ABE" w:rsidRDefault="004B523C" w:rsidP="006A57DB">
      <w:pPr>
        <w:pStyle w:val="EC-Para"/>
        <w:numPr>
          <w:ilvl w:val="0"/>
          <w:numId w:val="15"/>
        </w:numPr>
        <w:spacing w:after="0"/>
        <w:rPr>
          <w:rFonts w:cs="Tahoma"/>
        </w:rPr>
      </w:pPr>
      <w:r w:rsidRPr="009F7ABE">
        <w:rPr>
          <w:rFonts w:cs="Tahoma"/>
        </w:rPr>
        <w:t xml:space="preserve">Number of reported </w:t>
      </w:r>
      <w:proofErr w:type="gramStart"/>
      <w:r w:rsidRPr="009F7ABE">
        <w:rPr>
          <w:rFonts w:cs="Tahoma"/>
        </w:rPr>
        <w:t>cases</w:t>
      </w:r>
      <w:r w:rsidR="008B27D7" w:rsidRPr="009F7ABE">
        <w:rPr>
          <w:rFonts w:cs="Tahoma"/>
        </w:rPr>
        <w:t>;</w:t>
      </w:r>
      <w:proofErr w:type="gramEnd"/>
    </w:p>
    <w:p w14:paraId="4979A0F7" w14:textId="7E52AB09" w:rsidR="004B523C" w:rsidRPr="009F7ABE" w:rsidRDefault="004B523C" w:rsidP="006A57DB">
      <w:pPr>
        <w:pStyle w:val="EC-Para"/>
        <w:numPr>
          <w:ilvl w:val="0"/>
          <w:numId w:val="15"/>
        </w:numPr>
        <w:spacing w:after="0"/>
        <w:rPr>
          <w:rFonts w:cs="Tahoma"/>
        </w:rPr>
      </w:pPr>
      <w:r w:rsidRPr="009F7ABE">
        <w:rPr>
          <w:rFonts w:cs="Tahoma"/>
        </w:rPr>
        <w:t xml:space="preserve">Notification rate per 100 000 </w:t>
      </w:r>
      <w:proofErr w:type="gramStart"/>
      <w:r w:rsidRPr="009F7ABE">
        <w:rPr>
          <w:rFonts w:cs="Tahoma"/>
        </w:rPr>
        <w:t>population</w:t>
      </w:r>
      <w:r w:rsidR="008B27D7" w:rsidRPr="009F7ABE">
        <w:rPr>
          <w:rFonts w:cs="Tahoma"/>
        </w:rPr>
        <w:t>;</w:t>
      </w:r>
      <w:proofErr w:type="gramEnd"/>
    </w:p>
    <w:p w14:paraId="19192720" w14:textId="70038A54" w:rsidR="008B27D7" w:rsidRPr="009F7ABE" w:rsidRDefault="008B27D7" w:rsidP="006A57DB">
      <w:pPr>
        <w:pStyle w:val="EC-Para"/>
        <w:numPr>
          <w:ilvl w:val="0"/>
          <w:numId w:val="15"/>
        </w:numPr>
        <w:spacing w:after="0"/>
        <w:rPr>
          <w:rFonts w:cs="Tahoma"/>
        </w:rPr>
      </w:pPr>
      <w:r w:rsidRPr="009F7ABE">
        <w:rPr>
          <w:rFonts w:cs="Tahoma"/>
        </w:rPr>
        <w:t>Age-standardised rate per 100 000 population.</w:t>
      </w:r>
    </w:p>
    <w:p w14:paraId="0CA738F3" w14:textId="77777777" w:rsidR="004B523C" w:rsidRPr="009F7ABE" w:rsidRDefault="004B523C" w:rsidP="004B523C">
      <w:pPr>
        <w:pStyle w:val="EC-Para"/>
        <w:spacing w:after="0"/>
        <w:ind w:left="720"/>
        <w:rPr>
          <w:rFonts w:cs="Tahoma"/>
        </w:rPr>
      </w:pPr>
    </w:p>
    <w:p w14:paraId="06408455" w14:textId="0AD5A86F" w:rsidR="004B523C" w:rsidRPr="009F7ABE" w:rsidRDefault="004B523C" w:rsidP="004B523C">
      <w:pPr>
        <w:pStyle w:val="EC-Para"/>
        <w:spacing w:after="0"/>
        <w:rPr>
          <w:rFonts w:cs="Tahoma"/>
        </w:rPr>
      </w:pPr>
      <w:r w:rsidRPr="009F7ABE">
        <w:rPr>
          <w:rFonts w:cs="Tahoma"/>
        </w:rPr>
        <w:t xml:space="preserve">The indicators are available for the following </w:t>
      </w:r>
      <w:r w:rsidR="008A2943" w:rsidRPr="009F7ABE">
        <w:rPr>
          <w:rFonts w:cs="Tahoma"/>
        </w:rPr>
        <w:t>populations</w:t>
      </w:r>
      <w:r w:rsidRPr="009F7ABE">
        <w:rPr>
          <w:rFonts w:cs="Tahoma"/>
        </w:rPr>
        <w:t>:</w:t>
      </w:r>
    </w:p>
    <w:p w14:paraId="742155A1" w14:textId="4FF2AB7D" w:rsidR="004B523C" w:rsidRPr="009F7ABE" w:rsidRDefault="002945AF" w:rsidP="004B523C">
      <w:pPr>
        <w:pStyle w:val="EC-Para"/>
        <w:numPr>
          <w:ilvl w:val="0"/>
          <w:numId w:val="2"/>
        </w:numPr>
        <w:spacing w:after="0"/>
        <w:ind w:left="709" w:hanging="283"/>
        <w:rPr>
          <w:rFonts w:cs="Tahoma"/>
        </w:rPr>
      </w:pPr>
      <w:r w:rsidRPr="009F7ABE">
        <w:rPr>
          <w:rFonts w:cs="Tahoma"/>
        </w:rPr>
        <w:t>C</w:t>
      </w:r>
      <w:r w:rsidR="004B523C" w:rsidRPr="009F7ABE">
        <w:rPr>
          <w:rFonts w:cs="Tahoma"/>
        </w:rPr>
        <w:t xml:space="preserve">onfirmed </w:t>
      </w:r>
      <w:proofErr w:type="gramStart"/>
      <w:r w:rsidR="004B523C" w:rsidRPr="009F7ABE">
        <w:rPr>
          <w:rFonts w:cs="Tahoma"/>
        </w:rPr>
        <w:t>cases</w:t>
      </w:r>
      <w:r w:rsidR="008B27D7" w:rsidRPr="009F7ABE">
        <w:rPr>
          <w:rFonts w:cs="Tahoma"/>
        </w:rPr>
        <w:t>;</w:t>
      </w:r>
      <w:proofErr w:type="gramEnd"/>
    </w:p>
    <w:p w14:paraId="7F1EE45A" w14:textId="7BF67884" w:rsidR="00A10AFA" w:rsidRPr="009F7ABE" w:rsidRDefault="008A2943" w:rsidP="002F6E48">
      <w:pPr>
        <w:pStyle w:val="EC-Para"/>
        <w:numPr>
          <w:ilvl w:val="0"/>
          <w:numId w:val="2"/>
        </w:numPr>
        <w:spacing w:after="0"/>
        <w:ind w:left="709" w:hanging="283"/>
        <w:rPr>
          <w:rFonts w:cs="Tahoma"/>
        </w:rPr>
      </w:pPr>
      <w:r w:rsidRPr="009F7ABE">
        <w:rPr>
          <w:rFonts w:cs="Tahoma"/>
        </w:rPr>
        <w:t xml:space="preserve">Young adults (age 15-24 years), confirmed </w:t>
      </w:r>
      <w:proofErr w:type="gramStart"/>
      <w:r w:rsidRPr="009F7ABE">
        <w:rPr>
          <w:rFonts w:cs="Tahoma"/>
        </w:rPr>
        <w:t>cases</w:t>
      </w:r>
      <w:r w:rsidR="008B27D7" w:rsidRPr="009F7ABE">
        <w:rPr>
          <w:rFonts w:cs="Tahoma"/>
        </w:rPr>
        <w:t>;</w:t>
      </w:r>
      <w:proofErr w:type="gramEnd"/>
    </w:p>
    <w:p w14:paraId="31AF2A08" w14:textId="620A27C5" w:rsidR="002A3392" w:rsidRPr="00FC6466" w:rsidRDefault="00A10AFA" w:rsidP="002A3392">
      <w:pPr>
        <w:pStyle w:val="EC-Para"/>
        <w:numPr>
          <w:ilvl w:val="0"/>
          <w:numId w:val="2"/>
        </w:numPr>
        <w:spacing w:after="0"/>
        <w:ind w:left="709" w:hanging="283"/>
        <w:rPr>
          <w:rFonts w:cs="Tahoma"/>
        </w:rPr>
      </w:pPr>
      <w:r w:rsidRPr="009F7ABE">
        <w:rPr>
          <w:rFonts w:cs="Tahoma"/>
        </w:rPr>
        <w:t>M</w:t>
      </w:r>
      <w:r w:rsidR="008A2943" w:rsidRPr="009F7ABE">
        <w:rPr>
          <w:rFonts w:cs="Tahoma"/>
        </w:rPr>
        <w:t>en who have sex with men, confirmed cases</w:t>
      </w:r>
      <w:r w:rsidR="002A3392">
        <w:rPr>
          <w:rFonts w:cs="Tahoma"/>
        </w:rPr>
        <w:t xml:space="preserve">. Notification rates for men who have sex with men are calculated per 100 000 men as individual country denominators are not </w:t>
      </w:r>
      <w:proofErr w:type="gramStart"/>
      <w:r w:rsidR="002A3392">
        <w:rPr>
          <w:rFonts w:cs="Tahoma"/>
        </w:rPr>
        <w:t>available;</w:t>
      </w:r>
      <w:proofErr w:type="gramEnd"/>
    </w:p>
    <w:p w14:paraId="41857FCD" w14:textId="40018A13" w:rsidR="008A2943" w:rsidRPr="009F7ABE" w:rsidRDefault="008A2943" w:rsidP="002F6E48">
      <w:pPr>
        <w:pStyle w:val="EC-Para"/>
        <w:numPr>
          <w:ilvl w:val="0"/>
          <w:numId w:val="2"/>
        </w:numPr>
        <w:spacing w:after="0"/>
        <w:ind w:left="709" w:hanging="283"/>
        <w:rPr>
          <w:rFonts w:cs="Tahoma"/>
        </w:rPr>
      </w:pPr>
      <w:proofErr w:type="gramStart"/>
      <w:r w:rsidRPr="009F7ABE">
        <w:rPr>
          <w:rFonts w:cs="Tahoma"/>
        </w:rPr>
        <w:t>Heterosexual men,</w:t>
      </w:r>
      <w:proofErr w:type="gramEnd"/>
      <w:r w:rsidRPr="009F7ABE">
        <w:rPr>
          <w:rFonts w:cs="Tahoma"/>
        </w:rPr>
        <w:t xml:space="preserve"> confirmed cases</w:t>
      </w:r>
      <w:r w:rsidR="002A3392">
        <w:rPr>
          <w:rFonts w:cs="Tahoma"/>
        </w:rPr>
        <w:t xml:space="preserve">. Notification rates for heterosexual men are calculated per 100 000 men as individual country denominators are not </w:t>
      </w:r>
      <w:proofErr w:type="gramStart"/>
      <w:r w:rsidR="002A3392">
        <w:rPr>
          <w:rFonts w:cs="Tahoma"/>
        </w:rPr>
        <w:t>available;</w:t>
      </w:r>
      <w:proofErr w:type="gramEnd"/>
    </w:p>
    <w:p w14:paraId="76025F3A" w14:textId="42ED0351" w:rsidR="008A2943" w:rsidRPr="009F7ABE" w:rsidRDefault="008A2943" w:rsidP="002F6E48">
      <w:pPr>
        <w:pStyle w:val="EC-Para"/>
        <w:numPr>
          <w:ilvl w:val="0"/>
          <w:numId w:val="2"/>
        </w:numPr>
        <w:spacing w:after="0"/>
        <w:ind w:left="709" w:hanging="283"/>
        <w:rPr>
          <w:rFonts w:cs="Tahoma"/>
        </w:rPr>
      </w:pPr>
      <w:proofErr w:type="gramStart"/>
      <w:r w:rsidRPr="009F7ABE">
        <w:rPr>
          <w:rFonts w:cs="Tahoma"/>
        </w:rPr>
        <w:t>Women,</w:t>
      </w:r>
      <w:proofErr w:type="gramEnd"/>
      <w:r w:rsidRPr="009F7ABE">
        <w:rPr>
          <w:rFonts w:cs="Tahoma"/>
        </w:rPr>
        <w:t xml:space="preserve"> confirmed cases</w:t>
      </w:r>
      <w:r w:rsidR="008B27D7" w:rsidRPr="009F7ABE">
        <w:rPr>
          <w:rFonts w:cs="Tahoma"/>
        </w:rPr>
        <w:t>.</w:t>
      </w:r>
    </w:p>
    <w:p w14:paraId="2CFC3FD9" w14:textId="77777777" w:rsidR="00940F69" w:rsidRPr="009F7ABE" w:rsidRDefault="00940F69" w:rsidP="008A2943">
      <w:pPr>
        <w:pStyle w:val="EC-Para"/>
        <w:spacing w:after="0"/>
        <w:rPr>
          <w:rFonts w:cs="Tahoma"/>
        </w:rPr>
      </w:pPr>
    </w:p>
    <w:p w14:paraId="5741E881" w14:textId="77777777" w:rsidR="00F26F9B" w:rsidRPr="009F7ABE" w:rsidRDefault="00F26F9B" w:rsidP="00F26F9B">
      <w:pPr>
        <w:autoSpaceDE w:val="0"/>
        <w:autoSpaceDN w:val="0"/>
        <w:spacing w:line="200" w:lineRule="atLeast"/>
        <w:rPr>
          <w:rFonts w:ascii="Calibri" w:eastAsiaTheme="minorHAnsi" w:hAnsi="Calibri"/>
          <w:sz w:val="18"/>
          <w:szCs w:val="18"/>
          <w:lang w:eastAsia="en-US"/>
        </w:rPr>
      </w:pPr>
      <w:r w:rsidRPr="009F7ABE">
        <w:rPr>
          <w:sz w:val="18"/>
          <w:szCs w:val="18"/>
        </w:rPr>
        <w:t xml:space="preserve">For </w:t>
      </w:r>
      <w:r w:rsidRPr="009F7ABE">
        <w:rPr>
          <w:sz w:val="18"/>
          <w:szCs w:val="18"/>
          <w:u w:val="single"/>
        </w:rPr>
        <w:t>notification rate indicators</w:t>
      </w:r>
      <w:r w:rsidRPr="009F7ABE">
        <w:rPr>
          <w:sz w:val="18"/>
          <w:szCs w:val="18"/>
        </w:rPr>
        <w:t xml:space="preserve">, the data may be displayed in a bar chart as:  </w:t>
      </w:r>
    </w:p>
    <w:p w14:paraId="16817D13" w14:textId="12C31BA0" w:rsidR="00F26F9B" w:rsidRPr="009F7ABE" w:rsidRDefault="00F26F9B" w:rsidP="00F26F9B">
      <w:pPr>
        <w:numPr>
          <w:ilvl w:val="0"/>
          <w:numId w:val="11"/>
        </w:numPr>
        <w:autoSpaceDE w:val="0"/>
        <w:autoSpaceDN w:val="0"/>
        <w:spacing w:line="200" w:lineRule="atLeast"/>
        <w:rPr>
          <w:sz w:val="18"/>
          <w:szCs w:val="18"/>
        </w:rPr>
      </w:pPr>
      <w:r w:rsidRPr="009F7ABE">
        <w:rPr>
          <w:sz w:val="18"/>
          <w:szCs w:val="18"/>
        </w:rPr>
        <w:t xml:space="preserve">Age-specific notification rate </w:t>
      </w:r>
      <w:r w:rsidRPr="009F7ABE">
        <w:rPr>
          <w:rFonts w:eastAsia="Arial Unicode MS" w:cs="Tahoma"/>
          <w:kern w:val="22"/>
          <w:sz w:val="18"/>
          <w:szCs w:val="18"/>
        </w:rPr>
        <w:t>(0-14, 15-24, 25-34, 35-44, 45 years and above</w:t>
      </w:r>
      <w:proofErr w:type="gramStart"/>
      <w:r w:rsidRPr="009F7ABE">
        <w:rPr>
          <w:rFonts w:eastAsia="Arial Unicode MS" w:cs="Tahoma"/>
          <w:kern w:val="22"/>
          <w:sz w:val="18"/>
          <w:szCs w:val="18"/>
        </w:rPr>
        <w:t>);</w:t>
      </w:r>
      <w:proofErr w:type="gramEnd"/>
    </w:p>
    <w:p w14:paraId="00A7FE13" w14:textId="77777777" w:rsidR="00F26F9B" w:rsidRPr="009F7ABE" w:rsidRDefault="00F26F9B" w:rsidP="00F26F9B">
      <w:pPr>
        <w:numPr>
          <w:ilvl w:val="0"/>
          <w:numId w:val="11"/>
        </w:numPr>
        <w:autoSpaceDE w:val="0"/>
        <w:autoSpaceDN w:val="0"/>
        <w:spacing w:line="200" w:lineRule="atLeast"/>
        <w:rPr>
          <w:sz w:val="18"/>
          <w:szCs w:val="18"/>
        </w:rPr>
      </w:pPr>
      <w:r w:rsidRPr="009F7ABE">
        <w:rPr>
          <w:sz w:val="18"/>
          <w:szCs w:val="18"/>
        </w:rPr>
        <w:t xml:space="preserve">Gender-specific notification </w:t>
      </w:r>
      <w:proofErr w:type="gramStart"/>
      <w:r w:rsidRPr="009F7ABE">
        <w:rPr>
          <w:sz w:val="18"/>
          <w:szCs w:val="18"/>
        </w:rPr>
        <w:t>rate;</w:t>
      </w:r>
      <w:proofErr w:type="gramEnd"/>
    </w:p>
    <w:p w14:paraId="47CACCE8" w14:textId="77777777" w:rsidR="00F26F9B" w:rsidRPr="009F7ABE" w:rsidRDefault="00F26F9B" w:rsidP="00F26F9B">
      <w:pPr>
        <w:autoSpaceDE w:val="0"/>
        <w:autoSpaceDN w:val="0"/>
        <w:spacing w:line="200" w:lineRule="atLeast"/>
        <w:rPr>
          <w:sz w:val="18"/>
          <w:szCs w:val="18"/>
        </w:rPr>
      </w:pPr>
    </w:p>
    <w:p w14:paraId="4A23CE5A" w14:textId="77777777" w:rsidR="00F26F9B" w:rsidRPr="009F7ABE" w:rsidRDefault="00F26F9B" w:rsidP="00F26F9B">
      <w:pPr>
        <w:autoSpaceDE w:val="0"/>
        <w:autoSpaceDN w:val="0"/>
        <w:spacing w:line="200" w:lineRule="atLeast"/>
        <w:rPr>
          <w:sz w:val="18"/>
          <w:szCs w:val="18"/>
        </w:rPr>
      </w:pPr>
      <w:r w:rsidRPr="009F7ABE">
        <w:rPr>
          <w:sz w:val="18"/>
          <w:szCs w:val="18"/>
        </w:rPr>
        <w:t xml:space="preserve">For </w:t>
      </w:r>
      <w:r w:rsidRPr="009F7ABE">
        <w:rPr>
          <w:sz w:val="18"/>
          <w:szCs w:val="18"/>
          <w:u w:val="single"/>
        </w:rPr>
        <w:t>all other indicators</w:t>
      </w:r>
      <w:r w:rsidRPr="009F7ABE">
        <w:rPr>
          <w:sz w:val="18"/>
          <w:szCs w:val="18"/>
        </w:rPr>
        <w:t xml:space="preserve">, the data may be displayed in a bar chart or a pie chart by proportion of:  </w:t>
      </w:r>
    </w:p>
    <w:p w14:paraId="5AB0317A" w14:textId="52D9D876" w:rsidR="00F26F9B" w:rsidRPr="009F7ABE" w:rsidRDefault="00F26F9B" w:rsidP="00F26F9B">
      <w:pPr>
        <w:numPr>
          <w:ilvl w:val="0"/>
          <w:numId w:val="11"/>
        </w:numPr>
        <w:autoSpaceDE w:val="0"/>
        <w:autoSpaceDN w:val="0"/>
        <w:spacing w:line="200" w:lineRule="atLeast"/>
        <w:rPr>
          <w:sz w:val="18"/>
          <w:szCs w:val="18"/>
        </w:rPr>
      </w:pPr>
      <w:r w:rsidRPr="009F7ABE">
        <w:rPr>
          <w:sz w:val="18"/>
          <w:szCs w:val="18"/>
        </w:rPr>
        <w:t xml:space="preserve">Age groups </w:t>
      </w:r>
      <w:r w:rsidR="006B7EEA">
        <w:rPr>
          <w:rFonts w:eastAsia="Arial Unicode MS" w:cs="Tahoma"/>
          <w:kern w:val="22"/>
          <w:sz w:val="18"/>
          <w:szCs w:val="18"/>
        </w:rPr>
        <w:t>(0-14, 15-</w:t>
      </w:r>
      <w:r w:rsidRPr="009F7ABE">
        <w:rPr>
          <w:rFonts w:eastAsia="Arial Unicode MS" w:cs="Tahoma"/>
          <w:kern w:val="22"/>
          <w:sz w:val="18"/>
          <w:szCs w:val="18"/>
        </w:rPr>
        <w:t>24, 25-34, 35-44, 45 years and above</w:t>
      </w:r>
      <w:proofErr w:type="gramStart"/>
      <w:r w:rsidRPr="009F7ABE">
        <w:rPr>
          <w:rFonts w:eastAsia="Arial Unicode MS" w:cs="Tahoma"/>
          <w:kern w:val="22"/>
          <w:sz w:val="18"/>
          <w:szCs w:val="18"/>
        </w:rPr>
        <w:t>);</w:t>
      </w:r>
      <w:proofErr w:type="gramEnd"/>
    </w:p>
    <w:p w14:paraId="7066F639" w14:textId="7283B9CE" w:rsidR="00F26F9B" w:rsidRPr="009F7ABE" w:rsidRDefault="00F26F9B" w:rsidP="00F26F9B">
      <w:pPr>
        <w:numPr>
          <w:ilvl w:val="0"/>
          <w:numId w:val="11"/>
        </w:numPr>
        <w:autoSpaceDE w:val="0"/>
        <w:autoSpaceDN w:val="0"/>
        <w:spacing w:line="200" w:lineRule="atLeast"/>
        <w:rPr>
          <w:sz w:val="18"/>
          <w:szCs w:val="18"/>
        </w:rPr>
      </w:pPr>
      <w:proofErr w:type="gramStart"/>
      <w:r w:rsidRPr="009F7ABE">
        <w:rPr>
          <w:sz w:val="18"/>
          <w:szCs w:val="18"/>
        </w:rPr>
        <w:t>Gender;</w:t>
      </w:r>
      <w:proofErr w:type="gramEnd"/>
    </w:p>
    <w:p w14:paraId="6F2B500C" w14:textId="77777777" w:rsidR="00F26F9B" w:rsidRPr="009F7ABE" w:rsidRDefault="00F26F9B" w:rsidP="00F26F9B">
      <w:pPr>
        <w:pStyle w:val="ListParagraph"/>
        <w:numPr>
          <w:ilvl w:val="0"/>
          <w:numId w:val="12"/>
        </w:numPr>
        <w:autoSpaceDE w:val="0"/>
        <w:autoSpaceDN w:val="0"/>
        <w:spacing w:after="0" w:line="200" w:lineRule="exact"/>
        <w:rPr>
          <w:sz w:val="18"/>
          <w:szCs w:val="18"/>
          <w:lang w:eastAsia="ko-KR"/>
        </w:rPr>
      </w:pPr>
      <w:r w:rsidRPr="009F7ABE">
        <w:rPr>
          <w:rFonts w:eastAsia="Arial Unicode MS" w:cs="Tahoma"/>
          <w:kern w:val="22"/>
          <w:sz w:val="18"/>
          <w:szCs w:val="18"/>
        </w:rPr>
        <w:t xml:space="preserve">Transmission </w:t>
      </w:r>
      <w:proofErr w:type="gramStart"/>
      <w:r w:rsidRPr="009F7ABE">
        <w:rPr>
          <w:rFonts w:eastAsia="Arial Unicode MS" w:cs="Tahoma"/>
          <w:kern w:val="22"/>
          <w:sz w:val="18"/>
          <w:szCs w:val="18"/>
        </w:rPr>
        <w:t>category;</w:t>
      </w:r>
      <w:proofErr w:type="gramEnd"/>
    </w:p>
    <w:p w14:paraId="6BAACB67" w14:textId="77777777" w:rsidR="00F26F9B" w:rsidRPr="009F7ABE" w:rsidRDefault="00F26F9B" w:rsidP="00F26F9B">
      <w:pPr>
        <w:pStyle w:val="ListParagraph"/>
        <w:numPr>
          <w:ilvl w:val="0"/>
          <w:numId w:val="12"/>
        </w:numPr>
        <w:autoSpaceDE w:val="0"/>
        <w:autoSpaceDN w:val="0"/>
        <w:spacing w:after="0" w:line="200" w:lineRule="exact"/>
        <w:rPr>
          <w:sz w:val="18"/>
          <w:szCs w:val="18"/>
          <w:lang w:eastAsia="ko-KR"/>
        </w:rPr>
      </w:pPr>
      <w:r w:rsidRPr="009F7ABE">
        <w:rPr>
          <w:rFonts w:eastAsia="Arial Unicode MS" w:cs="Tahoma"/>
          <w:kern w:val="22"/>
          <w:sz w:val="18"/>
          <w:szCs w:val="18"/>
        </w:rPr>
        <w:t xml:space="preserve">Site of </w:t>
      </w:r>
      <w:proofErr w:type="gramStart"/>
      <w:r w:rsidRPr="009F7ABE">
        <w:rPr>
          <w:rFonts w:eastAsia="Arial Unicode MS" w:cs="Tahoma"/>
          <w:kern w:val="22"/>
          <w:sz w:val="18"/>
          <w:szCs w:val="18"/>
        </w:rPr>
        <w:t>infection;</w:t>
      </w:r>
      <w:proofErr w:type="gramEnd"/>
    </w:p>
    <w:p w14:paraId="3E4B10CB" w14:textId="77777777" w:rsidR="00F26F9B" w:rsidRPr="009F7ABE" w:rsidRDefault="00F26F9B" w:rsidP="00F26F9B">
      <w:pPr>
        <w:pStyle w:val="ListParagraph"/>
        <w:numPr>
          <w:ilvl w:val="0"/>
          <w:numId w:val="12"/>
        </w:numPr>
        <w:autoSpaceDE w:val="0"/>
        <w:autoSpaceDN w:val="0"/>
        <w:spacing w:after="0" w:line="200" w:lineRule="exact"/>
        <w:rPr>
          <w:sz w:val="18"/>
          <w:szCs w:val="18"/>
          <w:lang w:eastAsia="ko-KR"/>
        </w:rPr>
      </w:pPr>
      <w:r w:rsidRPr="009F7ABE">
        <w:rPr>
          <w:rFonts w:eastAsia="Arial Unicode MS" w:cs="Tahoma"/>
          <w:kern w:val="22"/>
          <w:sz w:val="18"/>
          <w:szCs w:val="18"/>
        </w:rPr>
        <w:t>HIV status.</w:t>
      </w:r>
    </w:p>
    <w:p w14:paraId="2255C4A0" w14:textId="11C073BF" w:rsidR="004B523C" w:rsidRPr="009F7ABE" w:rsidRDefault="004B523C" w:rsidP="004B523C">
      <w:pPr>
        <w:pStyle w:val="EC-Title-6"/>
        <w:rPr>
          <w:rFonts w:eastAsia="Arial Unicode MS"/>
          <w:b w:val="0"/>
          <w:bCs w:val="0"/>
          <w:color w:val="auto"/>
          <w:kern w:val="22"/>
          <w:sz w:val="18"/>
          <w:szCs w:val="18"/>
        </w:rPr>
      </w:pPr>
      <w:bookmarkStart w:id="23" w:name="_Toc175577673"/>
      <w:r w:rsidRPr="009F7ABE">
        <w:rPr>
          <w:rFonts w:eastAsia="Arial Unicode MS"/>
          <w:b w:val="0"/>
          <w:bCs w:val="0"/>
          <w:color w:val="auto"/>
          <w:kern w:val="22"/>
          <w:sz w:val="18"/>
          <w:szCs w:val="18"/>
        </w:rPr>
        <w:t>Symbols used in the Surveillance Atlas</w:t>
      </w:r>
      <w:r w:rsidR="00642E5A" w:rsidRPr="009F7ABE">
        <w:rPr>
          <w:rFonts w:eastAsia="Arial Unicode MS"/>
          <w:b w:val="0"/>
          <w:bCs w:val="0"/>
          <w:color w:val="auto"/>
          <w:kern w:val="22"/>
          <w:sz w:val="18"/>
          <w:szCs w:val="18"/>
        </w:rPr>
        <w:t xml:space="preserve"> table</w:t>
      </w:r>
      <w:r w:rsidRPr="009F7ABE">
        <w:rPr>
          <w:rFonts w:eastAsia="Arial Unicode MS"/>
          <w:b w:val="0"/>
          <w:bCs w:val="0"/>
          <w:color w:val="auto"/>
          <w:kern w:val="22"/>
          <w:sz w:val="18"/>
          <w:szCs w:val="18"/>
        </w:rPr>
        <w:t>:</w:t>
      </w:r>
      <w:bookmarkEnd w:id="23"/>
      <w:r w:rsidRPr="009F7ABE">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4B523C" w:rsidRPr="009F7ABE" w14:paraId="38D0401E" w14:textId="77777777" w:rsidTr="008F0C94">
        <w:tc>
          <w:tcPr>
            <w:tcW w:w="1101" w:type="dxa"/>
            <w:tcBorders>
              <w:top w:val="single" w:sz="4" w:space="0" w:color="000000"/>
              <w:left w:val="single" w:sz="4" w:space="0" w:color="000000"/>
              <w:bottom w:val="single" w:sz="4" w:space="0" w:color="000000"/>
              <w:right w:val="single" w:sz="4" w:space="0" w:color="000000"/>
            </w:tcBorders>
            <w:hideMark/>
          </w:tcPr>
          <w:p w14:paraId="4F64FD79" w14:textId="77777777" w:rsidR="004B523C" w:rsidRPr="009F7ABE" w:rsidRDefault="004B523C" w:rsidP="008F0C94">
            <w:pPr>
              <w:pStyle w:val="EC-Para"/>
              <w:rPr>
                <w:lang w:eastAsia="en-US"/>
              </w:rPr>
            </w:pPr>
            <w:r w:rsidRPr="009F7ABE">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705CF281" w14:textId="77777777" w:rsidR="004B523C" w:rsidRPr="009F7ABE" w:rsidRDefault="004B523C" w:rsidP="008F0C94">
            <w:pPr>
              <w:pStyle w:val="EC-Para"/>
              <w:rPr>
                <w:lang w:eastAsia="en-US"/>
              </w:rPr>
            </w:pPr>
            <w:r w:rsidRPr="009F7ABE">
              <w:rPr>
                <w:lang w:eastAsia="en-US"/>
              </w:rPr>
              <w:t>Comment</w:t>
            </w:r>
          </w:p>
        </w:tc>
      </w:tr>
      <w:tr w:rsidR="004B523C" w:rsidRPr="009F7ABE" w14:paraId="06F98BAA" w14:textId="77777777" w:rsidTr="008F0C94">
        <w:tc>
          <w:tcPr>
            <w:tcW w:w="1101" w:type="dxa"/>
            <w:tcBorders>
              <w:top w:val="single" w:sz="4" w:space="0" w:color="000000"/>
              <w:left w:val="single" w:sz="4" w:space="0" w:color="000000"/>
              <w:bottom w:val="single" w:sz="4" w:space="0" w:color="000000"/>
              <w:right w:val="single" w:sz="4" w:space="0" w:color="000000"/>
            </w:tcBorders>
            <w:hideMark/>
          </w:tcPr>
          <w:p w14:paraId="28387F1D" w14:textId="5C0289F4" w:rsidR="004B523C" w:rsidRPr="009F7ABE" w:rsidRDefault="00A10AFA" w:rsidP="008F0C94">
            <w:pPr>
              <w:pStyle w:val="EC-Para"/>
              <w:jc w:val="center"/>
              <w:rPr>
                <w:b/>
                <w:lang w:eastAsia="en-US"/>
              </w:rPr>
            </w:pPr>
            <w:r w:rsidRPr="009F7ABE">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1A714890" w14:textId="129166EF" w:rsidR="004B523C" w:rsidRPr="009F7ABE" w:rsidRDefault="004B523C" w:rsidP="008F0C94">
            <w:pPr>
              <w:pStyle w:val="EC-Para"/>
              <w:rPr>
                <w:lang w:eastAsia="en-US"/>
              </w:rPr>
            </w:pPr>
            <w:r w:rsidRPr="009F7ABE">
              <w:rPr>
                <w:lang w:eastAsia="en-US"/>
              </w:rPr>
              <w:t xml:space="preserve">Indicator is not calculated for </w:t>
            </w:r>
            <w:r w:rsidR="00C01334" w:rsidRPr="009F7ABE">
              <w:rPr>
                <w:lang w:eastAsia="en-US"/>
              </w:rPr>
              <w:t xml:space="preserve">a given </w:t>
            </w:r>
            <w:r w:rsidRPr="009F7ABE">
              <w:rPr>
                <w:lang w:eastAsia="en-US"/>
              </w:rPr>
              <w:t xml:space="preserve">geographical resolution and </w:t>
            </w:r>
            <w:proofErr w:type="gramStart"/>
            <w:r w:rsidRPr="009F7ABE">
              <w:rPr>
                <w:lang w:eastAsia="en-US"/>
              </w:rPr>
              <w:t>time period</w:t>
            </w:r>
            <w:proofErr w:type="gramEnd"/>
            <w:r w:rsidRPr="009F7ABE">
              <w:rPr>
                <w:lang w:eastAsia="en-US"/>
              </w:rPr>
              <w:t>.</w:t>
            </w:r>
          </w:p>
        </w:tc>
      </w:tr>
      <w:tr w:rsidR="004B523C" w:rsidRPr="009F7ABE" w14:paraId="3EC4C5FA" w14:textId="77777777" w:rsidTr="008F0C94">
        <w:tc>
          <w:tcPr>
            <w:tcW w:w="1101" w:type="dxa"/>
            <w:tcBorders>
              <w:top w:val="single" w:sz="4" w:space="0" w:color="000000"/>
              <w:left w:val="single" w:sz="4" w:space="0" w:color="000000"/>
              <w:bottom w:val="single" w:sz="4" w:space="0" w:color="000000"/>
              <w:right w:val="single" w:sz="4" w:space="0" w:color="000000"/>
            </w:tcBorders>
            <w:hideMark/>
          </w:tcPr>
          <w:p w14:paraId="2E6FB9F2" w14:textId="77777777" w:rsidR="004B523C" w:rsidRPr="009F7ABE" w:rsidRDefault="004B523C" w:rsidP="008F0C94">
            <w:pPr>
              <w:pStyle w:val="EC-Para"/>
              <w:jc w:val="center"/>
              <w:rPr>
                <w:b/>
                <w:lang w:eastAsia="en-US"/>
              </w:rPr>
            </w:pPr>
            <w:r w:rsidRPr="009F7ABE">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0F3D53CE" w14:textId="0583B03C" w:rsidR="004B523C" w:rsidRPr="009F7ABE" w:rsidRDefault="004B523C" w:rsidP="008F0C94">
            <w:pPr>
              <w:pStyle w:val="EC-Para"/>
              <w:rPr>
                <w:lang w:eastAsia="en-US"/>
              </w:rPr>
            </w:pPr>
            <w:r w:rsidRPr="009F7ABE">
              <w:rPr>
                <w:lang w:eastAsia="en-US"/>
              </w:rPr>
              <w:t xml:space="preserve">Missing data. Data are not reported to </w:t>
            </w:r>
            <w:proofErr w:type="spellStart"/>
            <w:r w:rsidRPr="009F7ABE">
              <w:rPr>
                <w:lang w:eastAsia="en-US"/>
              </w:rPr>
              <w:t>TESSy</w:t>
            </w:r>
            <w:proofErr w:type="spellEnd"/>
            <w:r w:rsidRPr="009F7ABE">
              <w:rPr>
                <w:lang w:eastAsia="en-US"/>
              </w:rPr>
              <w:t xml:space="preserve"> for </w:t>
            </w:r>
            <w:r w:rsidR="00C01334" w:rsidRPr="009F7ABE">
              <w:rPr>
                <w:lang w:eastAsia="en-US"/>
              </w:rPr>
              <w:t xml:space="preserve">a given </w:t>
            </w:r>
            <w:proofErr w:type="gramStart"/>
            <w:r w:rsidRPr="009F7ABE">
              <w:rPr>
                <w:lang w:eastAsia="en-US"/>
              </w:rPr>
              <w:t>time period</w:t>
            </w:r>
            <w:proofErr w:type="gramEnd"/>
            <w:r w:rsidRPr="009F7ABE">
              <w:rPr>
                <w:lang w:eastAsia="en-US"/>
              </w:rPr>
              <w:t>.</w:t>
            </w:r>
          </w:p>
        </w:tc>
      </w:tr>
    </w:tbl>
    <w:p w14:paraId="1DEBCDE1" w14:textId="77777777" w:rsidR="004B523C" w:rsidRPr="009F7ABE" w:rsidRDefault="004B523C" w:rsidP="004B523C">
      <w:pPr>
        <w:pStyle w:val="EC-Para"/>
        <w:rPr>
          <w:lang w:eastAsia="en-US"/>
        </w:rPr>
      </w:pPr>
    </w:p>
    <w:p w14:paraId="7E82EF85" w14:textId="501ADA3D" w:rsidR="00291FCE" w:rsidRPr="009F7ABE" w:rsidRDefault="00291FCE" w:rsidP="00291FCE">
      <w:pPr>
        <w:pStyle w:val="EC-Title-6"/>
        <w:rPr>
          <w:rFonts w:cs="Tahoma"/>
          <w:b w:val="0"/>
        </w:rPr>
      </w:pPr>
      <w:bookmarkStart w:id="24" w:name="_Toc175577674"/>
      <w:r w:rsidRPr="009F7ABE">
        <w:rPr>
          <w:rFonts w:cs="Tahoma"/>
          <w:b w:val="0"/>
        </w:rPr>
        <w:t>Data quality</w:t>
      </w:r>
      <w:bookmarkEnd w:id="24"/>
    </w:p>
    <w:p w14:paraId="3BE13C4E" w14:textId="3CBD18C0" w:rsidR="00524967" w:rsidRPr="002323EA" w:rsidRDefault="00524967" w:rsidP="00524967">
      <w:pPr>
        <w:shd w:val="clear" w:color="auto" w:fill="FFFFFF"/>
        <w:jc w:val="both"/>
        <w:rPr>
          <w:rFonts w:eastAsia="Times New Roman" w:cs="Tahoma"/>
          <w:szCs w:val="14"/>
          <w:lang w:eastAsia="en-GB"/>
        </w:rPr>
      </w:pPr>
      <w:bookmarkStart w:id="25" w:name="_Toc437442009"/>
      <w:r w:rsidRPr="002323EA">
        <w:rPr>
          <w:rFonts w:eastAsia="Times New Roman" w:cs="Tahoma"/>
          <w:sz w:val="18"/>
          <w:szCs w:val="18"/>
          <w:lang w:eastAsia="en-GB"/>
        </w:rPr>
        <w:t xml:space="preserve">The Surveillance Atlas indicators were </w:t>
      </w:r>
      <w:r w:rsidR="006B7EEA">
        <w:rPr>
          <w:rFonts w:eastAsia="Times New Roman" w:cs="Tahoma"/>
          <w:sz w:val="18"/>
          <w:szCs w:val="18"/>
          <w:lang w:eastAsia="en-GB"/>
        </w:rPr>
        <w:t xml:space="preserve">calculated up to the end of </w:t>
      </w:r>
      <w:r w:rsidR="000D37D6">
        <w:rPr>
          <w:rFonts w:eastAsia="Times New Roman" w:cs="Tahoma"/>
          <w:sz w:val="18"/>
          <w:szCs w:val="18"/>
          <w:lang w:eastAsia="en-GB"/>
        </w:rPr>
        <w:t>2023</w:t>
      </w:r>
      <w:r w:rsidRPr="002323EA">
        <w:rPr>
          <w:rFonts w:eastAsia="Times New Roman" w:cs="Tahoma"/>
          <w:sz w:val="18"/>
          <w:szCs w:val="18"/>
          <w:lang w:eastAsia="en-GB"/>
        </w:rPr>
        <w:t>.  </w:t>
      </w:r>
      <w:bookmarkEnd w:id="25"/>
      <w:r w:rsidRPr="002323EA">
        <w:rPr>
          <w:rFonts w:eastAsia="Times New Roman" w:cs="Tahoma"/>
          <w:sz w:val="18"/>
          <w:szCs w:val="18"/>
          <w:lang w:eastAsia="en-GB"/>
        </w:rPr>
        <w:t xml:space="preserve">EU/EEA countries reporting data on </w:t>
      </w:r>
      <w:r w:rsidR="000D32A6" w:rsidRPr="002323EA">
        <w:rPr>
          <w:rFonts w:eastAsia="Times New Roman" w:cs="Tahoma"/>
          <w:sz w:val="18"/>
          <w:szCs w:val="18"/>
          <w:lang w:eastAsia="en-GB"/>
        </w:rPr>
        <w:t>gonorrhoea</w:t>
      </w:r>
      <w:r w:rsidRPr="002323EA">
        <w:rPr>
          <w:rFonts w:eastAsia="Times New Roman" w:cs="Tahoma"/>
          <w:sz w:val="18"/>
          <w:szCs w:val="18"/>
          <w:lang w:eastAsia="en-GB"/>
        </w:rPr>
        <w:t xml:space="preserve"> a</w:t>
      </w:r>
      <w:r w:rsidR="00AB2708" w:rsidRPr="002323EA">
        <w:rPr>
          <w:rFonts w:eastAsia="Times New Roman" w:cs="Tahoma"/>
          <w:sz w:val="18"/>
          <w:szCs w:val="18"/>
          <w:lang w:eastAsia="en-GB"/>
        </w:rPr>
        <w:t>re</w:t>
      </w:r>
      <w:r w:rsidRPr="002323EA">
        <w:rPr>
          <w:rFonts w:eastAsia="Times New Roman" w:cs="Tahoma"/>
          <w:sz w:val="18"/>
          <w:szCs w:val="18"/>
          <w:lang w:eastAsia="en-GB"/>
        </w:rPr>
        <w:t xml:space="preserve"> displayed in </w:t>
      </w:r>
      <w:r w:rsidR="0063226B">
        <w:rPr>
          <w:rFonts w:eastAsia="Times New Roman" w:cs="Tahoma"/>
          <w:sz w:val="18"/>
          <w:szCs w:val="18"/>
          <w:lang w:eastAsia="en-GB"/>
        </w:rPr>
        <w:t>t</w:t>
      </w:r>
      <w:r w:rsidR="00776D29">
        <w:rPr>
          <w:rFonts w:eastAsia="Times New Roman" w:cs="Tahoma"/>
          <w:sz w:val="18"/>
          <w:szCs w:val="18"/>
          <w:lang w:eastAsia="en-GB"/>
        </w:rPr>
        <w:t xml:space="preserve">he </w:t>
      </w:r>
      <w:r w:rsidR="0063226B">
        <w:rPr>
          <w:rFonts w:eastAsia="Times New Roman" w:cs="Tahoma"/>
          <w:sz w:val="18"/>
          <w:szCs w:val="18"/>
          <w:lang w:eastAsia="en-GB"/>
        </w:rPr>
        <w:t>t</w:t>
      </w:r>
      <w:r w:rsidR="00776D29">
        <w:rPr>
          <w:rFonts w:eastAsia="Times New Roman" w:cs="Tahoma"/>
          <w:sz w:val="18"/>
          <w:szCs w:val="18"/>
          <w:lang w:eastAsia="en-GB"/>
        </w:rPr>
        <w:t>able below</w:t>
      </w:r>
      <w:r w:rsidRPr="002323EA">
        <w:rPr>
          <w:rFonts w:eastAsia="Times New Roman" w:cs="Tahoma"/>
          <w:sz w:val="18"/>
          <w:szCs w:val="18"/>
          <w:lang w:eastAsia="en-GB"/>
        </w:rPr>
        <w:t>. For data quality, reporting completeness of variables used to calculate Surveillance Atlas indicators was analysed for reported, confirmed cases.  For countries reporting data only in aggregated format, the analysis of data completeness is allowed only for data reported such as age and gender.</w:t>
      </w:r>
    </w:p>
    <w:p w14:paraId="4AD34AEF" w14:textId="77777777" w:rsidR="00524967" w:rsidRPr="00524967" w:rsidRDefault="00524967" w:rsidP="00524967">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w:t>
      </w:r>
    </w:p>
    <w:p w14:paraId="26EEA16C" w14:textId="4D9AD3D3" w:rsidR="00524967" w:rsidRPr="00524967" w:rsidRDefault="00524967" w:rsidP="00524967">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xml:space="preserve">The Surveillance Atlas indicators for data quality of confirmed </w:t>
      </w:r>
      <w:r w:rsidR="000D32A6">
        <w:rPr>
          <w:rFonts w:eastAsia="Times New Roman" w:cs="Tahoma"/>
          <w:color w:val="333333"/>
          <w:sz w:val="18"/>
          <w:szCs w:val="18"/>
          <w:lang w:eastAsia="en-GB"/>
        </w:rPr>
        <w:t>gonorrhoea</w:t>
      </w:r>
      <w:r w:rsidRPr="00524967">
        <w:rPr>
          <w:rFonts w:eastAsia="Times New Roman" w:cs="Tahoma"/>
          <w:color w:val="333333"/>
          <w:sz w:val="18"/>
          <w:szCs w:val="18"/>
          <w:lang w:eastAsia="en-GB"/>
        </w:rPr>
        <w:t xml:space="preserve"> cases are:</w:t>
      </w:r>
    </w:p>
    <w:p w14:paraId="2BB3639C" w14:textId="4CF60A12" w:rsidR="00524967" w:rsidRPr="002F4D1E" w:rsidRDefault="00524967" w:rsidP="002F4D1E">
      <w:pPr>
        <w:pStyle w:val="ListParagraph"/>
        <w:numPr>
          <w:ilvl w:val="0"/>
          <w:numId w:val="12"/>
        </w:numPr>
        <w:shd w:val="clear" w:color="auto" w:fill="FFFFFF"/>
        <w:spacing w:line="264" w:lineRule="atLeast"/>
        <w:jc w:val="both"/>
        <w:rPr>
          <w:rFonts w:cs="Tahoma"/>
          <w:lang w:eastAsia="en-GB"/>
        </w:rPr>
      </w:pPr>
      <w:r w:rsidRPr="002F4D1E">
        <w:rPr>
          <w:rFonts w:cs="Tahoma"/>
          <w:sz w:val="18"/>
          <w:szCs w:val="18"/>
          <w:lang w:eastAsia="en-GB"/>
        </w:rPr>
        <w:t>Completeness age (%</w:t>
      </w:r>
      <w:proofErr w:type="gramStart"/>
      <w:r w:rsidRPr="002F4D1E">
        <w:rPr>
          <w:rFonts w:cs="Tahoma"/>
          <w:sz w:val="18"/>
          <w:szCs w:val="18"/>
          <w:lang w:eastAsia="en-GB"/>
        </w:rPr>
        <w:t>);</w:t>
      </w:r>
      <w:proofErr w:type="gramEnd"/>
    </w:p>
    <w:p w14:paraId="1C011411" w14:textId="700FFEE3" w:rsidR="00524967" w:rsidRPr="002F4D1E" w:rsidRDefault="00524967" w:rsidP="002F4D1E">
      <w:pPr>
        <w:pStyle w:val="ListParagraph"/>
        <w:numPr>
          <w:ilvl w:val="0"/>
          <w:numId w:val="12"/>
        </w:numPr>
        <w:shd w:val="clear" w:color="auto" w:fill="FFFFFF"/>
        <w:spacing w:line="264" w:lineRule="atLeast"/>
        <w:jc w:val="both"/>
        <w:rPr>
          <w:rFonts w:cs="Tahoma"/>
          <w:lang w:eastAsia="en-GB"/>
        </w:rPr>
      </w:pPr>
      <w:r w:rsidRPr="002F4D1E">
        <w:rPr>
          <w:rFonts w:cs="Tahoma"/>
          <w:sz w:val="18"/>
          <w:szCs w:val="18"/>
          <w:lang w:eastAsia="en-GB"/>
        </w:rPr>
        <w:t>Completeness gender (%</w:t>
      </w:r>
      <w:proofErr w:type="gramStart"/>
      <w:r w:rsidRPr="002F4D1E">
        <w:rPr>
          <w:rFonts w:cs="Tahoma"/>
          <w:sz w:val="18"/>
          <w:szCs w:val="18"/>
          <w:lang w:eastAsia="en-GB"/>
        </w:rPr>
        <w:t>);</w:t>
      </w:r>
      <w:proofErr w:type="gramEnd"/>
    </w:p>
    <w:p w14:paraId="272A1BBC" w14:textId="0BEB2625" w:rsidR="000D32A6" w:rsidRPr="002F4D1E" w:rsidRDefault="000D32A6" w:rsidP="002F4D1E">
      <w:pPr>
        <w:pStyle w:val="ListParagraph"/>
        <w:numPr>
          <w:ilvl w:val="0"/>
          <w:numId w:val="12"/>
        </w:numPr>
        <w:shd w:val="clear" w:color="auto" w:fill="FFFFFF"/>
        <w:spacing w:line="264" w:lineRule="atLeast"/>
        <w:jc w:val="both"/>
        <w:rPr>
          <w:rFonts w:cs="Tahoma"/>
          <w:lang w:eastAsia="en-GB"/>
        </w:rPr>
      </w:pPr>
      <w:r w:rsidRPr="008C5377">
        <w:rPr>
          <w:rFonts w:cs="Tahoma"/>
          <w:sz w:val="18"/>
          <w:szCs w:val="18"/>
          <w:lang w:eastAsia="en-GB"/>
        </w:rPr>
        <w:lastRenderedPageBreak/>
        <w:t xml:space="preserve">Completeness </w:t>
      </w:r>
      <w:r>
        <w:rPr>
          <w:rFonts w:cs="Tahoma"/>
          <w:sz w:val="18"/>
          <w:szCs w:val="18"/>
          <w:lang w:eastAsia="en-GB"/>
        </w:rPr>
        <w:t>transmission (%</w:t>
      </w:r>
      <w:proofErr w:type="gramStart"/>
      <w:r>
        <w:rPr>
          <w:rFonts w:cs="Tahoma"/>
          <w:sz w:val="18"/>
          <w:szCs w:val="18"/>
          <w:lang w:eastAsia="en-GB"/>
        </w:rPr>
        <w:t>);</w:t>
      </w:r>
      <w:proofErr w:type="gramEnd"/>
    </w:p>
    <w:p w14:paraId="3F391519" w14:textId="2F1147AB" w:rsidR="000D32A6" w:rsidRPr="002F4D1E" w:rsidRDefault="000D32A6" w:rsidP="002F4D1E">
      <w:pPr>
        <w:pStyle w:val="ListParagraph"/>
        <w:numPr>
          <w:ilvl w:val="0"/>
          <w:numId w:val="12"/>
        </w:numPr>
        <w:shd w:val="clear" w:color="auto" w:fill="FFFFFF"/>
        <w:spacing w:line="264" w:lineRule="atLeast"/>
        <w:jc w:val="both"/>
        <w:rPr>
          <w:rFonts w:cs="Tahoma"/>
          <w:lang w:eastAsia="en-GB"/>
        </w:rPr>
      </w:pPr>
      <w:r>
        <w:rPr>
          <w:rFonts w:cs="Tahoma"/>
          <w:sz w:val="18"/>
          <w:szCs w:val="18"/>
          <w:lang w:eastAsia="en-GB"/>
        </w:rPr>
        <w:t>Completeness site of infection (%</w:t>
      </w:r>
      <w:proofErr w:type="gramStart"/>
      <w:r>
        <w:rPr>
          <w:rFonts w:cs="Tahoma"/>
          <w:sz w:val="18"/>
          <w:szCs w:val="18"/>
          <w:lang w:eastAsia="en-GB"/>
        </w:rPr>
        <w:t>);</w:t>
      </w:r>
      <w:proofErr w:type="gramEnd"/>
    </w:p>
    <w:p w14:paraId="459CE530" w14:textId="59A52B00" w:rsidR="000D32A6" w:rsidRPr="002F4D1E" w:rsidRDefault="000D32A6" w:rsidP="002F4D1E">
      <w:pPr>
        <w:pStyle w:val="ListParagraph"/>
        <w:numPr>
          <w:ilvl w:val="0"/>
          <w:numId w:val="12"/>
        </w:numPr>
        <w:shd w:val="clear" w:color="auto" w:fill="FFFFFF"/>
        <w:spacing w:line="264" w:lineRule="atLeast"/>
        <w:jc w:val="both"/>
        <w:rPr>
          <w:rFonts w:cs="Tahoma"/>
          <w:lang w:eastAsia="en-GB"/>
        </w:rPr>
      </w:pPr>
      <w:r>
        <w:rPr>
          <w:rFonts w:cs="Tahoma"/>
          <w:sz w:val="18"/>
          <w:szCs w:val="18"/>
          <w:lang w:eastAsia="en-GB"/>
        </w:rPr>
        <w:t>Completeness HIV status (%).</w:t>
      </w:r>
    </w:p>
    <w:p w14:paraId="6B878DF0" w14:textId="756FD746" w:rsidR="004B523C" w:rsidRPr="009F7ABE" w:rsidRDefault="004B523C" w:rsidP="004B523C">
      <w:pPr>
        <w:pStyle w:val="EC-Title-6"/>
        <w:rPr>
          <w:rFonts w:cs="Tahoma"/>
        </w:rPr>
      </w:pPr>
      <w:bookmarkStart w:id="26" w:name="_Toc175577675"/>
      <w:bookmarkStart w:id="27" w:name="_Toc371680469"/>
      <w:bookmarkStart w:id="28" w:name="_Toc370820716"/>
      <w:bookmarkStart w:id="29" w:name="_Toc343006536"/>
      <w:r w:rsidRPr="009F7ABE">
        <w:rPr>
          <w:rFonts w:cs="Tahoma"/>
        </w:rPr>
        <w:t>Interpretation</w:t>
      </w:r>
      <w:bookmarkEnd w:id="26"/>
      <w:r w:rsidRPr="009F7ABE">
        <w:rPr>
          <w:rFonts w:cs="Tahoma"/>
        </w:rPr>
        <w:t xml:space="preserve"> </w:t>
      </w:r>
      <w:bookmarkStart w:id="30" w:name="_Toc371680471"/>
      <w:bookmarkStart w:id="31" w:name="_Toc370820718"/>
      <w:bookmarkStart w:id="32" w:name="_Toc369763632"/>
      <w:bookmarkEnd w:id="27"/>
      <w:bookmarkEnd w:id="28"/>
      <w:bookmarkEnd w:id="29"/>
    </w:p>
    <w:p w14:paraId="17917F49" w14:textId="6CDB0A8C" w:rsidR="00C05A3F" w:rsidRDefault="005D7A43" w:rsidP="00C56103">
      <w:pPr>
        <w:kinsoku w:val="0"/>
        <w:autoSpaceDE w:val="0"/>
        <w:autoSpaceDN w:val="0"/>
        <w:adjustRightInd w:val="0"/>
        <w:spacing w:after="120" w:line="200" w:lineRule="atLeast"/>
        <w:jc w:val="both"/>
        <w:rPr>
          <w:rFonts w:eastAsia="Arial Unicode MS" w:cs="Tahoma"/>
          <w:kern w:val="22"/>
          <w:sz w:val="18"/>
          <w:szCs w:val="18"/>
        </w:rPr>
      </w:pPr>
      <w:r w:rsidRPr="009F7ABE">
        <w:rPr>
          <w:rFonts w:eastAsia="Arial Unicode MS" w:cs="Tahoma"/>
          <w:kern w:val="22"/>
          <w:sz w:val="18"/>
          <w:szCs w:val="18"/>
        </w:rPr>
        <w:t xml:space="preserve">The results shown in the Atlas should be interpreted with caution and </w:t>
      </w:r>
      <w:proofErr w:type="gramStart"/>
      <w:r w:rsidRPr="009F7ABE">
        <w:rPr>
          <w:rFonts w:eastAsia="Arial Unicode MS" w:cs="Tahoma"/>
          <w:kern w:val="22"/>
          <w:sz w:val="18"/>
          <w:szCs w:val="18"/>
        </w:rPr>
        <w:t>taking into account</w:t>
      </w:r>
      <w:proofErr w:type="gramEnd"/>
      <w:r w:rsidRPr="009F7ABE">
        <w:rPr>
          <w:rFonts w:eastAsia="Arial Unicode MS" w:cs="Tahoma"/>
          <w:kern w:val="22"/>
          <w:sz w:val="18"/>
          <w:szCs w:val="18"/>
        </w:rPr>
        <w:t xml:space="preserve"> data quality issues and differences between Member State surveillance systems. </w:t>
      </w:r>
      <w:proofErr w:type="gramStart"/>
      <w:r w:rsidRPr="009F7ABE">
        <w:rPr>
          <w:rFonts w:eastAsia="Arial Unicode MS" w:cs="Tahoma"/>
          <w:kern w:val="22"/>
          <w:sz w:val="18"/>
          <w:szCs w:val="18"/>
        </w:rPr>
        <w:t>Particular caution</w:t>
      </w:r>
      <w:proofErr w:type="gramEnd"/>
      <w:r w:rsidRPr="009F7ABE">
        <w:rPr>
          <w:rFonts w:eastAsia="Arial Unicode MS" w:cs="Tahoma"/>
          <w:kern w:val="22"/>
          <w:sz w:val="18"/>
          <w:szCs w:val="18"/>
        </w:rPr>
        <w:t xml:space="preserve"> is required when completeness is low or varies between countries. Considering that a large proportion of gonorrhoea infection is asymptomatic (for example among women and at extra-genital sites), gonorrhoea surveillance data depend heavily on testing strategies, availability of diagnostics and diagnostic pathways </w:t>
      </w:r>
      <w:proofErr w:type="gramStart"/>
      <w:r w:rsidRPr="009F7ABE">
        <w:rPr>
          <w:rFonts w:eastAsia="Arial Unicode MS" w:cs="Tahoma"/>
          <w:kern w:val="22"/>
          <w:sz w:val="18"/>
          <w:szCs w:val="18"/>
        </w:rPr>
        <w:t>used</w:t>
      </w:r>
      <w:proofErr w:type="gramEnd"/>
      <w:r w:rsidRPr="009F7ABE">
        <w:rPr>
          <w:rFonts w:eastAsia="Arial Unicode MS" w:cs="Tahoma"/>
          <w:kern w:val="22"/>
          <w:sz w:val="18"/>
          <w:szCs w:val="18"/>
        </w:rPr>
        <w:t xml:space="preserve"> and </w:t>
      </w:r>
      <w:r w:rsidR="00F774F4">
        <w:rPr>
          <w:rFonts w:eastAsia="Arial Unicode MS" w:cs="Tahoma"/>
          <w:kern w:val="22"/>
          <w:sz w:val="18"/>
          <w:szCs w:val="18"/>
        </w:rPr>
        <w:t xml:space="preserve">all of </w:t>
      </w:r>
      <w:r w:rsidRPr="009F7ABE">
        <w:rPr>
          <w:rFonts w:eastAsia="Arial Unicode MS" w:cs="Tahoma"/>
          <w:kern w:val="22"/>
          <w:sz w:val="18"/>
          <w:szCs w:val="18"/>
        </w:rPr>
        <w:t xml:space="preserve">these might vary across countries. In addition, under-reporting may differ between countries depending on the characteristics of their surveillance systems. </w:t>
      </w:r>
      <w:r w:rsidR="00DE08FD" w:rsidRPr="00DE08FD">
        <w:rPr>
          <w:rFonts w:eastAsia="Arial Unicode MS" w:cs="Tahoma"/>
          <w:kern w:val="22"/>
          <w:sz w:val="18"/>
          <w:szCs w:val="18"/>
        </w:rPr>
        <w:t xml:space="preserve">Hence, any direct comparisons between countries without taking into account these limitations in the data </w:t>
      </w:r>
      <w:proofErr w:type="gramStart"/>
      <w:r w:rsidR="00DE08FD" w:rsidRPr="00DE08FD">
        <w:rPr>
          <w:rFonts w:eastAsia="Arial Unicode MS" w:cs="Tahoma"/>
          <w:kern w:val="22"/>
          <w:sz w:val="18"/>
          <w:szCs w:val="18"/>
        </w:rPr>
        <w:t>is</w:t>
      </w:r>
      <w:proofErr w:type="gramEnd"/>
      <w:r w:rsidR="00DE08FD" w:rsidRPr="00DE08FD">
        <w:rPr>
          <w:rFonts w:eastAsia="Arial Unicode MS" w:cs="Tahoma"/>
          <w:kern w:val="22"/>
          <w:sz w:val="18"/>
          <w:szCs w:val="18"/>
        </w:rPr>
        <w:t xml:space="preserve"> not advisable.</w:t>
      </w:r>
    </w:p>
    <w:p w14:paraId="33E6C0AA" w14:textId="6702A68B" w:rsidR="00551704" w:rsidRPr="009F7ABE" w:rsidRDefault="004B0FBD" w:rsidP="00C56103">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Since</w:t>
      </w:r>
      <w:r w:rsidR="00551704" w:rsidRPr="00551704">
        <w:rPr>
          <w:rFonts w:eastAsia="Arial Unicode MS" w:cs="Tahoma"/>
          <w:kern w:val="22"/>
          <w:sz w:val="18"/>
          <w:szCs w:val="18"/>
        </w:rPr>
        <w:t xml:space="preserve"> 2020 no data were reported by the United Kingdom (UK) due to its withdrawal from the EU on 1 February 2020. As the UK contributed a large proportion of reported cases in previous years, this led to a large, art</w:t>
      </w:r>
      <w:r w:rsidR="00FA29A3">
        <w:rPr>
          <w:rFonts w:eastAsia="Arial Unicode MS" w:cs="Tahoma"/>
          <w:kern w:val="22"/>
          <w:sz w:val="18"/>
          <w:szCs w:val="18"/>
        </w:rPr>
        <w:t>efactual</w:t>
      </w:r>
      <w:r w:rsidR="00551704" w:rsidRPr="00551704">
        <w:rPr>
          <w:rFonts w:eastAsia="Arial Unicode MS" w:cs="Tahoma"/>
          <w:kern w:val="22"/>
          <w:sz w:val="18"/>
          <w:szCs w:val="18"/>
        </w:rPr>
        <w:t xml:space="preserve"> decrease in the number of cases and rates at EU/EEA-level </w:t>
      </w:r>
      <w:r>
        <w:rPr>
          <w:rFonts w:eastAsia="Arial Unicode MS" w:cs="Tahoma"/>
          <w:kern w:val="22"/>
          <w:sz w:val="18"/>
          <w:szCs w:val="18"/>
        </w:rPr>
        <w:t>since</w:t>
      </w:r>
      <w:r w:rsidR="00551704" w:rsidRPr="00551704">
        <w:rPr>
          <w:rFonts w:eastAsia="Arial Unicode MS" w:cs="Tahoma"/>
          <w:kern w:val="22"/>
          <w:sz w:val="18"/>
          <w:szCs w:val="18"/>
        </w:rPr>
        <w:t xml:space="preserve"> 2020</w:t>
      </w:r>
      <w:r>
        <w:rPr>
          <w:rFonts w:eastAsia="Arial Unicode MS" w:cs="Tahoma"/>
          <w:kern w:val="22"/>
          <w:sz w:val="18"/>
          <w:szCs w:val="18"/>
        </w:rPr>
        <w:t xml:space="preserve"> compared to the years before</w:t>
      </w:r>
      <w:r w:rsidR="00551704" w:rsidRPr="00551704">
        <w:rPr>
          <w:rFonts w:eastAsia="Arial Unicode MS" w:cs="Tahoma"/>
          <w:kern w:val="22"/>
          <w:sz w:val="18"/>
          <w:szCs w:val="18"/>
        </w:rPr>
        <w:t>.</w:t>
      </w:r>
    </w:p>
    <w:p w14:paraId="63F42960" w14:textId="2DAB0500" w:rsidR="00123A53" w:rsidRDefault="003737FE" w:rsidP="00C56103">
      <w:pPr>
        <w:kinsoku w:val="0"/>
        <w:autoSpaceDE w:val="0"/>
        <w:autoSpaceDN w:val="0"/>
        <w:adjustRightInd w:val="0"/>
        <w:spacing w:after="120" w:line="200" w:lineRule="atLeast"/>
        <w:jc w:val="both"/>
        <w:rPr>
          <w:rFonts w:eastAsia="Arial Unicode MS" w:cs="Tahoma"/>
          <w:kern w:val="22"/>
          <w:sz w:val="18"/>
          <w:szCs w:val="18"/>
        </w:rPr>
      </w:pPr>
      <w:bookmarkStart w:id="33" w:name="_Hlk129354286"/>
      <w:r w:rsidRPr="003737FE">
        <w:rPr>
          <w:rFonts w:eastAsia="Arial Unicode MS" w:cs="Tahoma"/>
          <w:kern w:val="22"/>
          <w:sz w:val="18"/>
          <w:szCs w:val="18"/>
        </w:rPr>
        <w:t xml:space="preserve">In </w:t>
      </w:r>
      <w:r>
        <w:rPr>
          <w:rFonts w:eastAsia="Arial Unicode MS" w:cs="Tahoma"/>
          <w:kern w:val="22"/>
          <w:sz w:val="18"/>
          <w:szCs w:val="18"/>
        </w:rPr>
        <w:t>France</w:t>
      </w:r>
      <w:r w:rsidRPr="003737FE">
        <w:rPr>
          <w:rFonts w:eastAsia="Arial Unicode MS" w:cs="Tahoma"/>
          <w:kern w:val="22"/>
          <w:sz w:val="18"/>
          <w:szCs w:val="18"/>
        </w:rPr>
        <w:t xml:space="preserve"> the surveillance system used to report </w:t>
      </w:r>
      <w:r>
        <w:rPr>
          <w:rFonts w:eastAsia="Arial Unicode MS" w:cs="Tahoma"/>
          <w:kern w:val="22"/>
          <w:sz w:val="18"/>
          <w:szCs w:val="18"/>
        </w:rPr>
        <w:t>gonorrhoea</w:t>
      </w:r>
      <w:r w:rsidRPr="003737FE">
        <w:rPr>
          <w:rFonts w:eastAsia="Arial Unicode MS" w:cs="Tahoma"/>
          <w:kern w:val="22"/>
          <w:sz w:val="18"/>
          <w:szCs w:val="18"/>
        </w:rPr>
        <w:t xml:space="preserve"> changed in 2020 and thus data fr</w:t>
      </w:r>
      <w:r w:rsidR="00C36F55">
        <w:rPr>
          <w:rFonts w:eastAsia="Arial Unicode MS" w:cs="Tahoma"/>
          <w:kern w:val="22"/>
          <w:sz w:val="18"/>
          <w:szCs w:val="18"/>
        </w:rPr>
        <w:t>om</w:t>
      </w:r>
      <w:r w:rsidRPr="003737FE">
        <w:rPr>
          <w:rFonts w:eastAsia="Arial Unicode MS" w:cs="Tahoma"/>
          <w:kern w:val="22"/>
          <w:sz w:val="18"/>
          <w:szCs w:val="18"/>
        </w:rPr>
        <w:t xml:space="preserve"> 2020 </w:t>
      </w:r>
      <w:r w:rsidR="00C36F55">
        <w:rPr>
          <w:rFonts w:eastAsia="Arial Unicode MS" w:cs="Tahoma"/>
          <w:kern w:val="22"/>
          <w:sz w:val="18"/>
          <w:szCs w:val="18"/>
        </w:rPr>
        <w:t xml:space="preserve">onwards </w:t>
      </w:r>
      <w:r w:rsidRPr="003737FE">
        <w:rPr>
          <w:rFonts w:eastAsia="Arial Unicode MS" w:cs="Tahoma"/>
          <w:kern w:val="22"/>
          <w:sz w:val="18"/>
          <w:szCs w:val="18"/>
        </w:rPr>
        <w:t>should not be compared with data from previous years.</w:t>
      </w:r>
    </w:p>
    <w:p w14:paraId="7F78FE11" w14:textId="73388984" w:rsidR="00007C1A" w:rsidRDefault="00123A53" w:rsidP="00007C1A">
      <w:pPr>
        <w:kinsoku w:val="0"/>
        <w:autoSpaceDE w:val="0"/>
        <w:autoSpaceDN w:val="0"/>
        <w:adjustRightInd w:val="0"/>
        <w:spacing w:after="120" w:line="200" w:lineRule="atLeast"/>
        <w:jc w:val="both"/>
        <w:rPr>
          <w:rFonts w:eastAsia="Arial Unicode MS" w:cs="Tahoma"/>
          <w:kern w:val="22"/>
          <w:sz w:val="18"/>
          <w:szCs w:val="18"/>
        </w:rPr>
      </w:pPr>
      <w:r w:rsidRPr="00123A53">
        <w:rPr>
          <w:rFonts w:eastAsia="Arial Unicode MS" w:cs="Tahoma"/>
          <w:kern w:val="22"/>
          <w:sz w:val="18"/>
          <w:szCs w:val="18"/>
        </w:rPr>
        <w:t xml:space="preserve">In Luxembourg the surveillance system used to report </w:t>
      </w:r>
      <w:r w:rsidR="003737FE">
        <w:rPr>
          <w:rFonts w:eastAsia="Arial Unicode MS" w:cs="Tahoma"/>
          <w:kern w:val="22"/>
          <w:sz w:val="18"/>
          <w:szCs w:val="18"/>
        </w:rPr>
        <w:t>gonorrhoea</w:t>
      </w:r>
      <w:r w:rsidRPr="00123A53">
        <w:rPr>
          <w:rFonts w:eastAsia="Arial Unicode MS" w:cs="Tahoma"/>
          <w:kern w:val="22"/>
          <w:sz w:val="18"/>
          <w:szCs w:val="18"/>
        </w:rPr>
        <w:t xml:space="preserve"> changed in 2020 and thus</w:t>
      </w:r>
      <w:bookmarkEnd w:id="33"/>
      <w:r w:rsidR="00007C1A">
        <w:rPr>
          <w:rFonts w:eastAsia="Arial Unicode MS" w:cs="Tahoma"/>
          <w:kern w:val="22"/>
          <w:sz w:val="18"/>
          <w:szCs w:val="18"/>
        </w:rPr>
        <w:t xml:space="preserve"> </w:t>
      </w:r>
      <w:r w:rsidR="00007C1A" w:rsidRPr="002F6A65">
        <w:rPr>
          <w:rFonts w:eastAsia="Arial Unicode MS" w:cs="Tahoma"/>
          <w:kern w:val="22"/>
          <w:sz w:val="18"/>
          <w:szCs w:val="18"/>
        </w:rPr>
        <w:t xml:space="preserve">data </w:t>
      </w:r>
      <w:r w:rsidR="00007C1A">
        <w:rPr>
          <w:rFonts w:eastAsia="Arial Unicode MS" w:cs="Tahoma"/>
          <w:kern w:val="22"/>
          <w:sz w:val="18"/>
          <w:szCs w:val="18"/>
        </w:rPr>
        <w:t>from</w:t>
      </w:r>
      <w:r w:rsidR="00007C1A" w:rsidRPr="002F6A65">
        <w:rPr>
          <w:rFonts w:eastAsia="Arial Unicode MS" w:cs="Tahoma"/>
          <w:kern w:val="22"/>
          <w:sz w:val="18"/>
          <w:szCs w:val="18"/>
        </w:rPr>
        <w:t xml:space="preserve"> 2020 </w:t>
      </w:r>
      <w:r w:rsidR="00007C1A">
        <w:rPr>
          <w:rFonts w:eastAsia="Arial Unicode MS" w:cs="Tahoma"/>
          <w:kern w:val="22"/>
          <w:sz w:val="18"/>
          <w:szCs w:val="18"/>
        </w:rPr>
        <w:t xml:space="preserve">onwards </w:t>
      </w:r>
      <w:r w:rsidR="00007C1A" w:rsidRPr="002F6A65">
        <w:rPr>
          <w:rFonts w:eastAsia="Arial Unicode MS" w:cs="Tahoma"/>
          <w:kern w:val="22"/>
          <w:sz w:val="18"/>
          <w:szCs w:val="18"/>
        </w:rPr>
        <w:t>should not be compared with data from previous years.</w:t>
      </w:r>
    </w:p>
    <w:p w14:paraId="713C87C8" w14:textId="77777777" w:rsidR="00123A53" w:rsidRPr="009F7ABE" w:rsidRDefault="00123A53" w:rsidP="00C56103">
      <w:pPr>
        <w:kinsoku w:val="0"/>
        <w:autoSpaceDE w:val="0"/>
        <w:autoSpaceDN w:val="0"/>
        <w:adjustRightInd w:val="0"/>
        <w:spacing w:after="120" w:line="200" w:lineRule="atLeast"/>
        <w:jc w:val="both"/>
        <w:rPr>
          <w:rFonts w:eastAsia="Arial Unicode MS" w:cs="Tahoma"/>
          <w:kern w:val="22"/>
          <w:sz w:val="18"/>
          <w:szCs w:val="18"/>
        </w:rPr>
      </w:pPr>
    </w:p>
    <w:p w14:paraId="70D4A394" w14:textId="015E4033" w:rsidR="004B523C" w:rsidRPr="009F7ABE" w:rsidRDefault="004B523C" w:rsidP="004B523C">
      <w:pPr>
        <w:pStyle w:val="EC-Title-6"/>
        <w:rPr>
          <w:rFonts w:cs="Tahoma"/>
          <w:color w:val="FF0000"/>
          <w:sz w:val="20"/>
          <w:szCs w:val="20"/>
        </w:rPr>
      </w:pPr>
      <w:bookmarkStart w:id="34" w:name="_Toc175577676"/>
      <w:r w:rsidRPr="009F7ABE">
        <w:t>Reports publ</w:t>
      </w:r>
      <w:r w:rsidR="00F92506" w:rsidRPr="009F7ABE">
        <w:t xml:space="preserve">ished by ECDC on </w:t>
      </w:r>
      <w:r w:rsidR="00994920" w:rsidRPr="009F7ABE">
        <w:t>gonorrhoea</w:t>
      </w:r>
      <w:bookmarkEnd w:id="34"/>
      <w:r w:rsidRPr="009F7ABE">
        <w:t xml:space="preserve"> </w:t>
      </w:r>
    </w:p>
    <w:p w14:paraId="64372F86" w14:textId="77777777" w:rsidR="005D7A43" w:rsidRPr="009F7ABE" w:rsidRDefault="005D7A43" w:rsidP="005D7A43">
      <w:pPr>
        <w:kinsoku w:val="0"/>
        <w:autoSpaceDE w:val="0"/>
        <w:autoSpaceDN w:val="0"/>
        <w:adjustRightInd w:val="0"/>
        <w:spacing w:after="120" w:line="200" w:lineRule="atLeast"/>
        <w:jc w:val="both"/>
        <w:rPr>
          <w:rFonts w:eastAsia="Arial Unicode MS"/>
          <w:kern w:val="22"/>
          <w:sz w:val="18"/>
          <w:szCs w:val="18"/>
        </w:rPr>
      </w:pPr>
      <w:r w:rsidRPr="009F7ABE">
        <w:rPr>
          <w:rFonts w:eastAsia="Arial Unicode MS"/>
          <w:kern w:val="22"/>
          <w:sz w:val="18"/>
          <w:szCs w:val="18"/>
        </w:rPr>
        <w:t>More information is available in ECDC reports. Later retrievals of data related to the same period may result in slightly different numbers as countries have the possibility to update data retrospectively. Therefore, the data presented in the reports might slightly differ from those presented in the Surveillance Atlas.</w:t>
      </w:r>
    </w:p>
    <w:p w14:paraId="510724C3" w14:textId="16AC3240" w:rsidR="008E3EB0" w:rsidRPr="002323EA" w:rsidRDefault="008E3EB0" w:rsidP="008E3EB0">
      <w:pPr>
        <w:shd w:val="clear" w:color="auto" w:fill="FFFFFF"/>
        <w:contextualSpacing/>
        <w:rPr>
          <w:rFonts w:cs="Tahoma"/>
          <w:b/>
          <w:bCs/>
          <w:color w:val="333333"/>
          <w:sz w:val="18"/>
          <w:szCs w:val="18"/>
        </w:rPr>
      </w:pPr>
      <w:r>
        <w:rPr>
          <w:rFonts w:cs="Tahoma"/>
          <w:b/>
          <w:bCs/>
          <w:color w:val="333333"/>
          <w:sz w:val="18"/>
          <w:szCs w:val="18"/>
        </w:rPr>
        <w:t xml:space="preserve">Annual epidemiological report </w:t>
      </w:r>
      <w:r w:rsidR="002323EA">
        <w:rPr>
          <w:rFonts w:cs="Tahoma"/>
          <w:b/>
          <w:bCs/>
          <w:color w:val="333333"/>
          <w:sz w:val="18"/>
          <w:szCs w:val="18"/>
        </w:rPr>
        <w:t xml:space="preserve">for </w:t>
      </w:r>
      <w:r>
        <w:rPr>
          <w:rFonts w:cs="Tahoma"/>
          <w:b/>
          <w:bCs/>
          <w:color w:val="333333"/>
          <w:sz w:val="18"/>
          <w:szCs w:val="18"/>
        </w:rPr>
        <w:t>20</w:t>
      </w:r>
      <w:r w:rsidR="007D7A39">
        <w:rPr>
          <w:rFonts w:cs="Tahoma"/>
          <w:b/>
          <w:bCs/>
          <w:color w:val="333333"/>
          <w:sz w:val="18"/>
          <w:szCs w:val="18"/>
        </w:rPr>
        <w:t>21</w:t>
      </w:r>
      <w:r w:rsidR="002323EA">
        <w:rPr>
          <w:rFonts w:cs="Tahoma"/>
          <w:b/>
          <w:bCs/>
          <w:color w:val="333333"/>
          <w:sz w:val="18"/>
          <w:szCs w:val="18"/>
        </w:rPr>
        <w:t xml:space="preserve"> </w:t>
      </w:r>
      <w:r>
        <w:rPr>
          <w:rFonts w:cs="Tahoma"/>
          <w:b/>
          <w:bCs/>
          <w:color w:val="333333"/>
          <w:sz w:val="18"/>
          <w:szCs w:val="18"/>
        </w:rPr>
        <w:t>–</w:t>
      </w:r>
      <w:r w:rsidR="002323EA">
        <w:rPr>
          <w:rFonts w:cs="Tahoma"/>
          <w:b/>
          <w:bCs/>
          <w:color w:val="333333"/>
          <w:sz w:val="18"/>
          <w:szCs w:val="18"/>
        </w:rPr>
        <w:t xml:space="preserve"> </w:t>
      </w:r>
      <w:r w:rsidR="003316BC">
        <w:rPr>
          <w:rFonts w:cs="Tahoma"/>
          <w:b/>
          <w:bCs/>
          <w:color w:val="333333"/>
          <w:sz w:val="18"/>
          <w:szCs w:val="18"/>
        </w:rPr>
        <w:t>gonorrhoea</w:t>
      </w:r>
    </w:p>
    <w:p w14:paraId="7160EA55" w14:textId="2FCBAD7B" w:rsidR="007D7A39" w:rsidRDefault="00A07B1B" w:rsidP="00196AFB">
      <w:pPr>
        <w:shd w:val="clear" w:color="auto" w:fill="FFFFFF"/>
        <w:spacing w:before="120"/>
        <w:rPr>
          <w:rStyle w:val="Hyperlink"/>
          <w:rFonts w:eastAsia="Arial Unicode MS" w:cs="Times New Roman"/>
          <w:kern w:val="22"/>
          <w:szCs w:val="18"/>
        </w:rPr>
      </w:pPr>
      <w:hyperlink r:id="rId17" w:history="1">
        <w:r w:rsidR="007D7A39" w:rsidRPr="00B23564">
          <w:rPr>
            <w:rStyle w:val="Hyperlink"/>
            <w:rFonts w:eastAsia="Arial Unicode MS" w:cs="Times New Roman"/>
            <w:kern w:val="22"/>
            <w:szCs w:val="18"/>
          </w:rPr>
          <w:t>https://www.ecdc.europa.eu/sites/default/files/documents/gonorrhoea-annual-epidemiological-report-2021_0.pdf</w:t>
        </w:r>
      </w:hyperlink>
    </w:p>
    <w:p w14:paraId="5A33E99A" w14:textId="78124EAB" w:rsidR="00551DF1" w:rsidRPr="00F52848" w:rsidRDefault="00551DF1" w:rsidP="00196AFB">
      <w:pPr>
        <w:shd w:val="clear" w:color="auto" w:fill="FFFFFF"/>
        <w:spacing w:before="120"/>
        <w:rPr>
          <w:rFonts w:cs="Tahoma"/>
          <w:b/>
          <w:bCs/>
          <w:color w:val="333333"/>
          <w:sz w:val="18"/>
          <w:szCs w:val="18"/>
        </w:rPr>
      </w:pPr>
      <w:r w:rsidRPr="00F52848">
        <w:rPr>
          <w:rFonts w:cs="Tahoma"/>
          <w:b/>
          <w:bCs/>
          <w:color w:val="333333"/>
          <w:sz w:val="18"/>
          <w:szCs w:val="18"/>
        </w:rPr>
        <w:t xml:space="preserve">Gonococcal antimicrobial susceptibility surveillance in Europe </w:t>
      </w:r>
      <w:r w:rsidR="005156C6" w:rsidRPr="00F52848">
        <w:rPr>
          <w:rFonts w:cs="Tahoma"/>
          <w:b/>
          <w:bCs/>
          <w:color w:val="333333"/>
          <w:sz w:val="18"/>
          <w:szCs w:val="18"/>
        </w:rPr>
        <w:t>20</w:t>
      </w:r>
      <w:r w:rsidR="00551704">
        <w:rPr>
          <w:rFonts w:cs="Tahoma"/>
          <w:b/>
          <w:bCs/>
          <w:color w:val="333333"/>
          <w:sz w:val="18"/>
          <w:szCs w:val="18"/>
        </w:rPr>
        <w:t>20</w:t>
      </w:r>
    </w:p>
    <w:p w14:paraId="3AC7E381" w14:textId="11952064" w:rsidR="00FA29A3" w:rsidRDefault="00A07B1B" w:rsidP="00080E6B">
      <w:pPr>
        <w:pStyle w:val="EC-Para"/>
        <w:contextualSpacing/>
        <w:rPr>
          <w:rStyle w:val="Hyperlink"/>
          <w:rFonts w:cs="Times New Roman"/>
        </w:rPr>
      </w:pPr>
      <w:hyperlink r:id="rId18" w:history="1">
        <w:r w:rsidR="00D767FC" w:rsidRPr="001B6F72">
          <w:rPr>
            <w:rStyle w:val="Hyperlink"/>
            <w:rFonts w:cs="Times New Roman"/>
          </w:rPr>
          <w:t>https://www.ecdc.europa.eu/en/publications-data/gonococcal-antimicrobial-susceptibility-surveillance-2020</w:t>
        </w:r>
      </w:hyperlink>
    </w:p>
    <w:p w14:paraId="603AD9F1" w14:textId="77777777" w:rsidR="00C56103" w:rsidRPr="009F7ABE" w:rsidRDefault="00C56103" w:rsidP="00F015EE">
      <w:pPr>
        <w:spacing w:after="200" w:line="276" w:lineRule="auto"/>
        <w:rPr>
          <w:b/>
          <w:color w:val="69AE23"/>
          <w:sz w:val="26"/>
          <w:szCs w:val="26"/>
        </w:rPr>
      </w:pPr>
    </w:p>
    <w:p w14:paraId="2C00DB93" w14:textId="77777777" w:rsidR="00C56103" w:rsidRPr="009F7ABE" w:rsidRDefault="00C56103">
      <w:pPr>
        <w:spacing w:after="200" w:line="276" w:lineRule="auto"/>
        <w:rPr>
          <w:b/>
          <w:color w:val="69AE23"/>
          <w:sz w:val="26"/>
          <w:szCs w:val="26"/>
        </w:rPr>
      </w:pPr>
      <w:r w:rsidRPr="009F7ABE">
        <w:rPr>
          <w:b/>
          <w:color w:val="69AE23"/>
          <w:sz w:val="26"/>
          <w:szCs w:val="26"/>
        </w:rPr>
        <w:br w:type="page"/>
      </w:r>
    </w:p>
    <w:p w14:paraId="3533ECFC" w14:textId="14EB9483" w:rsidR="00DE08FD" w:rsidRDefault="004B523C" w:rsidP="00380FE0">
      <w:pPr>
        <w:pStyle w:val="EC-Title-6"/>
      </w:pPr>
      <w:bookmarkStart w:id="35" w:name="_Toc175577677"/>
      <w:r w:rsidRPr="009F7ABE">
        <w:lastRenderedPageBreak/>
        <w:t>Surveillance systems overview</w:t>
      </w:r>
      <w:bookmarkEnd w:id="30"/>
      <w:bookmarkEnd w:id="31"/>
      <w:bookmarkEnd w:id="32"/>
      <w:r w:rsidR="00254BFC" w:rsidRPr="009F7ABE">
        <w:t xml:space="preserve">, </w:t>
      </w:r>
      <w:r w:rsidR="003167C2">
        <w:t xml:space="preserve">gonorrhoea, </w:t>
      </w:r>
      <w:r w:rsidR="0027188B">
        <w:t>202</w:t>
      </w:r>
      <w:r w:rsidR="00623B1C">
        <w:t>3</w:t>
      </w:r>
      <w:bookmarkEnd w:id="35"/>
    </w:p>
    <w:p w14:paraId="7B225138" w14:textId="059453D8" w:rsidR="00786896" w:rsidRPr="00786896" w:rsidRDefault="00027820" w:rsidP="00786896">
      <w:pPr>
        <w:pStyle w:val="EC-Para"/>
        <w:rPr>
          <w:lang w:eastAsia="en-US"/>
        </w:rPr>
      </w:pPr>
      <w:r w:rsidRPr="00027820">
        <w:drawing>
          <wp:inline distT="0" distB="0" distL="0" distR="0" wp14:anchorId="006E90E1" wp14:editId="0B4A4B1F">
            <wp:extent cx="5731510" cy="3919855"/>
            <wp:effectExtent l="0" t="0" r="2540" b="4445"/>
            <wp:docPr id="425314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919855"/>
                    </a:xfrm>
                    <a:prstGeom prst="rect">
                      <a:avLst/>
                    </a:prstGeom>
                    <a:noFill/>
                    <a:ln>
                      <a:noFill/>
                    </a:ln>
                  </pic:spPr>
                </pic:pic>
              </a:graphicData>
            </a:graphic>
          </wp:inline>
        </w:drawing>
      </w:r>
    </w:p>
    <w:p w14:paraId="559A1CAF" w14:textId="4F845FE9" w:rsidR="000D37D6" w:rsidRDefault="009839EE" w:rsidP="000D37D6">
      <w:pPr>
        <w:rPr>
          <w:i/>
        </w:rPr>
      </w:pPr>
      <w:r>
        <w:rPr>
          <w:i/>
        </w:rPr>
        <w:t xml:space="preserve">Note: </w:t>
      </w:r>
      <w:r w:rsidR="000D37D6">
        <w:rPr>
          <w:i/>
        </w:rPr>
        <w:t xml:space="preserve">Austria and </w:t>
      </w:r>
      <w:r>
        <w:rPr>
          <w:i/>
        </w:rPr>
        <w:t xml:space="preserve">Germany </w:t>
      </w:r>
      <w:proofErr w:type="gramStart"/>
      <w:r>
        <w:rPr>
          <w:i/>
        </w:rPr>
        <w:t>do</w:t>
      </w:r>
      <w:r w:rsidR="007503C0">
        <w:rPr>
          <w:i/>
        </w:rPr>
        <w:t>es</w:t>
      </w:r>
      <w:proofErr w:type="gramEnd"/>
      <w:r>
        <w:rPr>
          <w:i/>
        </w:rPr>
        <w:t xml:space="preserve"> not report </w:t>
      </w:r>
      <w:r w:rsidR="00214791">
        <w:rPr>
          <w:i/>
        </w:rPr>
        <w:t>g</w:t>
      </w:r>
      <w:r w:rsidR="00214791" w:rsidRPr="00214791">
        <w:rPr>
          <w:i/>
        </w:rPr>
        <w:t>onorrhoea</w:t>
      </w:r>
      <w:r>
        <w:rPr>
          <w:i/>
        </w:rPr>
        <w:t xml:space="preserve"> surveillance data. </w:t>
      </w:r>
    </w:p>
    <w:p w14:paraId="0B78DD54" w14:textId="416E9417" w:rsidR="000D37D6" w:rsidRDefault="000D37D6" w:rsidP="000D37D6">
      <w:pPr>
        <w:spacing w:after="200" w:line="276" w:lineRule="auto"/>
        <w:rPr>
          <w:b/>
          <w:bCs/>
          <w:color w:val="69AE23"/>
          <w:sz w:val="26"/>
          <w:szCs w:val="26"/>
          <w:lang w:eastAsia="en-US"/>
        </w:rPr>
      </w:pPr>
    </w:p>
    <w:p w14:paraId="0F60DAF5" w14:textId="4DD6D678" w:rsidR="000C7E11" w:rsidRDefault="000C7E11" w:rsidP="000D37D6">
      <w:pPr>
        <w:rPr>
          <w:lang w:eastAsia="en-US"/>
        </w:rPr>
      </w:pPr>
    </w:p>
    <w:p w14:paraId="45EE9741" w14:textId="6D2D7466" w:rsidR="000C7E11" w:rsidRDefault="000C7E11" w:rsidP="000C7E11">
      <w:pPr>
        <w:pStyle w:val="EC-Para"/>
        <w:rPr>
          <w:lang w:eastAsia="en-US"/>
        </w:rPr>
      </w:pPr>
    </w:p>
    <w:p w14:paraId="03D75A74" w14:textId="77B5CF1B" w:rsidR="000C7E11" w:rsidRDefault="000C7E11" w:rsidP="000C7E11">
      <w:pPr>
        <w:pStyle w:val="EC-Para"/>
        <w:rPr>
          <w:lang w:eastAsia="en-US"/>
        </w:rPr>
      </w:pPr>
    </w:p>
    <w:p w14:paraId="14D73D24" w14:textId="20514B26" w:rsidR="000C7E11" w:rsidRDefault="000C7E11" w:rsidP="000C7E11">
      <w:pPr>
        <w:pStyle w:val="EC-Para"/>
        <w:rPr>
          <w:lang w:eastAsia="en-US"/>
        </w:rPr>
      </w:pPr>
    </w:p>
    <w:p w14:paraId="69BCA5B4" w14:textId="052DCD60" w:rsidR="000C7E11" w:rsidRDefault="000C7E11" w:rsidP="000C7E11">
      <w:pPr>
        <w:pStyle w:val="EC-Para"/>
        <w:rPr>
          <w:lang w:eastAsia="en-US"/>
        </w:rPr>
      </w:pPr>
    </w:p>
    <w:p w14:paraId="492C8D54" w14:textId="4D36A4DC" w:rsidR="000C7E11" w:rsidRDefault="000C7E11" w:rsidP="000C7E11">
      <w:pPr>
        <w:pStyle w:val="EC-Para"/>
        <w:rPr>
          <w:lang w:eastAsia="en-US"/>
        </w:rPr>
      </w:pPr>
    </w:p>
    <w:p w14:paraId="445F617D" w14:textId="1A2BE2E3" w:rsidR="000C7E11" w:rsidRDefault="000C7E11" w:rsidP="000C7E11">
      <w:pPr>
        <w:pStyle w:val="EC-Para"/>
        <w:rPr>
          <w:lang w:eastAsia="en-US"/>
        </w:rPr>
      </w:pPr>
    </w:p>
    <w:p w14:paraId="20ABD637" w14:textId="7B45B4D9" w:rsidR="000C7E11" w:rsidRDefault="000C7E11" w:rsidP="000C7E11">
      <w:pPr>
        <w:pStyle w:val="EC-Para"/>
        <w:rPr>
          <w:lang w:eastAsia="en-US"/>
        </w:rPr>
      </w:pPr>
    </w:p>
    <w:p w14:paraId="3C37E3DD" w14:textId="771F671F" w:rsidR="00786896" w:rsidRDefault="00786896">
      <w:pPr>
        <w:spacing w:after="200" w:line="276" w:lineRule="auto"/>
        <w:rPr>
          <w:rFonts w:eastAsia="Arial Unicode MS"/>
          <w:kern w:val="22"/>
          <w:sz w:val="18"/>
          <w:szCs w:val="18"/>
          <w:lang w:eastAsia="en-US"/>
        </w:rPr>
      </w:pPr>
      <w:r>
        <w:rPr>
          <w:lang w:eastAsia="en-US"/>
        </w:rPr>
        <w:br w:type="page"/>
      </w:r>
    </w:p>
    <w:p w14:paraId="3D76676F" w14:textId="77777777" w:rsidR="005A25A2" w:rsidRDefault="005A25A2" w:rsidP="005A25A2">
      <w:pPr>
        <w:pStyle w:val="EC-Title-5"/>
        <w:rPr>
          <w:i/>
        </w:rPr>
      </w:pPr>
      <w:bookmarkStart w:id="36" w:name="_Toc175577683"/>
      <w:r w:rsidRPr="00F015EE">
        <w:lastRenderedPageBreak/>
        <w:t>Syphilis</w:t>
      </w:r>
      <w:bookmarkEnd w:id="36"/>
    </w:p>
    <w:p w14:paraId="0A333817" w14:textId="77777777" w:rsidR="00056AF0" w:rsidRDefault="00056AF0" w:rsidP="00056AF0">
      <w:pPr>
        <w:pStyle w:val="EC-Para"/>
        <w:jc w:val="right"/>
        <w:rPr>
          <w:b/>
          <w:lang w:eastAsia="en-US"/>
        </w:rPr>
      </w:pPr>
      <w:r>
        <w:rPr>
          <w:b/>
          <w:lang w:eastAsia="en-US"/>
        </w:rPr>
        <w:t>Last updated: 29 August 2024</w:t>
      </w:r>
    </w:p>
    <w:p w14:paraId="69FB88B2" w14:textId="7A1182D7" w:rsidR="00056AF0" w:rsidRDefault="00056AF0" w:rsidP="00056AF0">
      <w:pPr>
        <w:pStyle w:val="EC-Para"/>
        <w:jc w:val="right"/>
        <w:rPr>
          <w:b/>
          <w:lang w:eastAsia="en-US"/>
        </w:rPr>
      </w:pPr>
      <w:r>
        <w:rPr>
          <w:b/>
          <w:lang w:eastAsia="en-US"/>
        </w:rPr>
        <w:t xml:space="preserve">Data as of </w:t>
      </w:r>
      <w:r w:rsidR="00027820">
        <w:rPr>
          <w:b/>
          <w:lang w:eastAsia="en-US"/>
        </w:rPr>
        <w:t>2</w:t>
      </w:r>
      <w:r>
        <w:rPr>
          <w:b/>
          <w:lang w:eastAsia="en-US"/>
        </w:rPr>
        <w:t>9 August 2024</w:t>
      </w:r>
    </w:p>
    <w:p w14:paraId="2207275A" w14:textId="04270BAC" w:rsidR="005A25A2" w:rsidRDefault="005A25A2" w:rsidP="005A25A2">
      <w:pPr>
        <w:pStyle w:val="EC-Para"/>
        <w:jc w:val="right"/>
        <w:rPr>
          <w:b/>
          <w:lang w:eastAsia="en-US"/>
        </w:rPr>
      </w:pPr>
    </w:p>
    <w:p w14:paraId="396C2D14" w14:textId="77777777" w:rsidR="005A25A2" w:rsidRPr="00E85C7E" w:rsidRDefault="005A25A2" w:rsidP="005A25A2">
      <w:pPr>
        <w:autoSpaceDE w:val="0"/>
        <w:autoSpaceDN w:val="0"/>
        <w:adjustRightInd w:val="0"/>
        <w:spacing w:after="120"/>
        <w:jc w:val="both"/>
        <w:rPr>
          <w:color w:val="333333"/>
          <w:szCs w:val="18"/>
          <w:shd w:val="clear" w:color="auto" w:fill="FFFFFF"/>
        </w:rPr>
      </w:pPr>
      <w:r w:rsidRPr="00E85C7E">
        <w:rPr>
          <w:rFonts w:cs="Tahoma"/>
          <w:sz w:val="18"/>
          <w:szCs w:val="18"/>
          <w:shd w:val="clear" w:color="auto" w:fill="FFFFFF"/>
        </w:rPr>
        <w:t>Syphilis is a sexually transmitted infection caused by the bacterium</w:t>
      </w:r>
      <w:r w:rsidRPr="00E85C7E">
        <w:rPr>
          <w:rStyle w:val="apple-converted-space"/>
          <w:szCs w:val="18"/>
          <w:shd w:val="clear" w:color="auto" w:fill="FFFFFF"/>
        </w:rPr>
        <w:t> </w:t>
      </w:r>
      <w:r w:rsidRPr="00E85C7E">
        <w:rPr>
          <w:rStyle w:val="Emphasis"/>
          <w:rFonts w:cs="Tahoma"/>
          <w:sz w:val="18"/>
          <w:szCs w:val="18"/>
          <w:shd w:val="clear" w:color="auto" w:fill="FFFFFF"/>
        </w:rPr>
        <w:t>Treponema pallidum</w:t>
      </w:r>
      <w:r w:rsidRPr="00E85C7E">
        <w:rPr>
          <w:rFonts w:cs="Tahoma"/>
          <w:sz w:val="18"/>
          <w:szCs w:val="18"/>
          <w:shd w:val="clear" w:color="auto" w:fill="FFFFFF"/>
        </w:rPr>
        <w:t>.</w:t>
      </w:r>
      <w:r w:rsidRPr="00E85C7E">
        <w:rPr>
          <w:rStyle w:val="apple-converted-space"/>
          <w:szCs w:val="18"/>
          <w:shd w:val="clear" w:color="auto" w:fill="FFFFFF"/>
        </w:rPr>
        <w:t> </w:t>
      </w:r>
      <w:r w:rsidRPr="00E85C7E">
        <w:rPr>
          <w:rFonts w:eastAsiaTheme="minorHAnsi" w:cs="Tahoma"/>
          <w:sz w:val="18"/>
          <w:szCs w:val="18"/>
          <w:lang w:eastAsia="en-US"/>
        </w:rPr>
        <w:t>For a more detailed description of the disease and its epidemiology</w:t>
      </w:r>
      <w:r>
        <w:rPr>
          <w:rFonts w:eastAsiaTheme="minorHAnsi" w:cs="Tahoma"/>
          <w:sz w:val="18"/>
          <w:szCs w:val="18"/>
          <w:lang w:eastAsia="en-US"/>
        </w:rPr>
        <w:t>,</w:t>
      </w:r>
      <w:r w:rsidRPr="00E85C7E">
        <w:rPr>
          <w:rFonts w:eastAsiaTheme="minorHAnsi" w:cs="Tahoma"/>
          <w:sz w:val="18"/>
          <w:szCs w:val="18"/>
          <w:lang w:eastAsia="en-US"/>
        </w:rPr>
        <w:t xml:space="preserve"> please click</w:t>
      </w:r>
      <w:r w:rsidRPr="00E85C7E">
        <w:rPr>
          <w:rFonts w:cs="Tahoma"/>
          <w:sz w:val="18"/>
          <w:szCs w:val="18"/>
        </w:rPr>
        <w:t xml:space="preserve"> </w:t>
      </w:r>
      <w:hyperlink r:id="rId20" w:history="1">
        <w:r w:rsidRPr="00F44E9A">
          <w:rPr>
            <w:rStyle w:val="Hyperlink"/>
            <w:i/>
            <w:szCs w:val="18"/>
          </w:rPr>
          <w:t>here</w:t>
        </w:r>
      </w:hyperlink>
      <w:r w:rsidRPr="00F44E9A">
        <w:rPr>
          <w:rStyle w:val="Hyperlink"/>
          <w:i/>
          <w:szCs w:val="18"/>
        </w:rPr>
        <w:t xml:space="preserve">.  </w:t>
      </w:r>
    </w:p>
    <w:p w14:paraId="060A1FFA" w14:textId="77777777" w:rsidR="005A25A2" w:rsidRDefault="005A25A2" w:rsidP="005A25A2">
      <w:pPr>
        <w:pStyle w:val="EC-Title-6"/>
        <w:rPr>
          <w:rFonts w:cs="Tahoma"/>
        </w:rPr>
      </w:pPr>
      <w:bookmarkStart w:id="37" w:name="_Toc175577684"/>
      <w:r>
        <w:rPr>
          <w:rFonts w:cs="Tahoma"/>
        </w:rPr>
        <w:t>Data</w:t>
      </w:r>
      <w:bookmarkEnd w:id="37"/>
    </w:p>
    <w:p w14:paraId="4D7966C7" w14:textId="77777777" w:rsidR="005A25A2" w:rsidRDefault="005A25A2" w:rsidP="005A25A2">
      <w:pPr>
        <w:pStyle w:val="EC-Para"/>
        <w:jc w:val="both"/>
        <w:rPr>
          <w:rFonts w:cs="Tahoma"/>
        </w:rPr>
      </w:pPr>
      <w:r>
        <w:rPr>
          <w:rFonts w:cs="Tahoma"/>
        </w:rPr>
        <w:t>The Surveillance Atlas of Infectious Diseases displays data on syphilis infections reported by the EU/EEA Member States. T</w:t>
      </w:r>
      <w:r w:rsidRPr="0057427A">
        <w:rPr>
          <w:rFonts w:cs="Tahoma"/>
        </w:rPr>
        <w:t>he European Centre for Disease Prevention</w:t>
      </w:r>
      <w:r>
        <w:rPr>
          <w:rFonts w:cs="Tahoma"/>
        </w:rPr>
        <w:t xml:space="preserve"> </w:t>
      </w:r>
      <w:r w:rsidRPr="0057427A">
        <w:rPr>
          <w:rFonts w:cs="Tahoma"/>
        </w:rPr>
        <w:t>and Control (ECDC) has been coordinating the enhanced</w:t>
      </w:r>
      <w:r>
        <w:rPr>
          <w:rFonts w:cs="Tahoma"/>
        </w:rPr>
        <w:t xml:space="preserve"> </w:t>
      </w:r>
      <w:r w:rsidRPr="0057427A">
        <w:rPr>
          <w:rFonts w:cs="Tahoma"/>
        </w:rPr>
        <w:t>surveillance of sexually transmitted infections (STI) in</w:t>
      </w:r>
      <w:r>
        <w:rPr>
          <w:rFonts w:cs="Tahoma"/>
        </w:rPr>
        <w:t xml:space="preserve"> </w:t>
      </w:r>
      <w:r w:rsidRPr="0057427A">
        <w:rPr>
          <w:rFonts w:cs="Tahoma"/>
        </w:rPr>
        <w:t>Europe</w:t>
      </w:r>
      <w:r>
        <w:rPr>
          <w:rFonts w:cs="Tahoma"/>
        </w:rPr>
        <w:t xml:space="preserve"> since 2009</w:t>
      </w:r>
      <w:r w:rsidRPr="0057427A">
        <w:rPr>
          <w:rFonts w:cs="Tahoma"/>
        </w:rPr>
        <w:t>.</w:t>
      </w:r>
    </w:p>
    <w:p w14:paraId="4568B988" w14:textId="77777777" w:rsidR="005A25A2" w:rsidRPr="00F015EE" w:rsidRDefault="005A25A2" w:rsidP="005A25A2">
      <w:pPr>
        <w:autoSpaceDE w:val="0"/>
        <w:autoSpaceDN w:val="0"/>
        <w:adjustRightInd w:val="0"/>
        <w:spacing w:after="120"/>
        <w:jc w:val="both"/>
        <w:rPr>
          <w:rFonts w:eastAsia="Arial Unicode MS" w:cs="Tahoma"/>
          <w:kern w:val="22"/>
          <w:sz w:val="18"/>
          <w:szCs w:val="18"/>
        </w:rPr>
      </w:pPr>
      <w:r>
        <w:rPr>
          <w:rFonts w:eastAsia="Arial Unicode MS" w:cs="Tahoma"/>
          <w:kern w:val="22"/>
          <w:sz w:val="18"/>
          <w:szCs w:val="18"/>
        </w:rPr>
        <w:t>Cases are classified according to the 2018 EU case definition for syphilis which has some changes in the laboratory criteria compared to the 2012 definition</w:t>
      </w:r>
      <w:r>
        <w:rPr>
          <w:rStyle w:val="FootnoteReference"/>
          <w:rFonts w:eastAsiaTheme="minorHAnsi" w:cs="Tahoma"/>
          <w:szCs w:val="20"/>
          <w:lang w:eastAsia="en-US"/>
        </w:rPr>
        <w:footnoteReference w:id="6"/>
      </w:r>
      <w:r>
        <w:rPr>
          <w:rFonts w:eastAsia="Arial Unicode MS" w:cs="Tahoma"/>
          <w:kern w:val="22"/>
          <w:sz w:val="18"/>
          <w:szCs w:val="18"/>
        </w:rPr>
        <w:t xml:space="preserve">. Only confirmed cases are </w:t>
      </w:r>
      <w:r w:rsidRPr="003D0723">
        <w:rPr>
          <w:rFonts w:eastAsia="Arial Unicode MS" w:cs="Tahoma"/>
          <w:kern w:val="22"/>
          <w:sz w:val="18"/>
          <w:szCs w:val="18"/>
        </w:rPr>
        <w:t>reported.</w:t>
      </w:r>
      <w:r>
        <w:rPr>
          <w:rFonts w:eastAsia="Arial Unicode MS" w:cs="Tahoma"/>
          <w:kern w:val="22"/>
          <w:sz w:val="18"/>
          <w:szCs w:val="18"/>
        </w:rPr>
        <w:t xml:space="preserve"> </w:t>
      </w:r>
    </w:p>
    <w:p w14:paraId="5DA27D0E" w14:textId="77777777" w:rsidR="005A25A2" w:rsidRPr="003D0723" w:rsidRDefault="005A25A2" w:rsidP="005A25A2">
      <w:pPr>
        <w:autoSpaceDE w:val="0"/>
        <w:autoSpaceDN w:val="0"/>
        <w:adjustRightInd w:val="0"/>
        <w:spacing w:before="60" w:after="60"/>
        <w:rPr>
          <w:rFonts w:eastAsiaTheme="minorHAnsi" w:cs="Tahoma"/>
          <w:color w:val="000000"/>
          <w:sz w:val="18"/>
          <w:szCs w:val="18"/>
          <w:lang w:val="it-IT" w:eastAsia="en-US"/>
        </w:rPr>
      </w:pPr>
      <w:r w:rsidRPr="003D0723">
        <w:rPr>
          <w:rFonts w:eastAsiaTheme="minorHAnsi" w:cs="Tahoma"/>
          <w:b/>
          <w:bCs/>
          <w:color w:val="000000"/>
          <w:sz w:val="18"/>
          <w:szCs w:val="18"/>
          <w:lang w:val="it-IT" w:eastAsia="en-US"/>
        </w:rPr>
        <w:t xml:space="preserve">Clinical </w:t>
      </w:r>
      <w:r>
        <w:rPr>
          <w:rFonts w:eastAsiaTheme="minorHAnsi" w:cs="Tahoma"/>
          <w:b/>
          <w:bCs/>
          <w:color w:val="000000"/>
          <w:sz w:val="18"/>
          <w:szCs w:val="18"/>
          <w:lang w:val="it-IT" w:eastAsia="en-US"/>
        </w:rPr>
        <w:t>c</w:t>
      </w:r>
      <w:r w:rsidRPr="003D0723">
        <w:rPr>
          <w:rFonts w:eastAsiaTheme="minorHAnsi" w:cs="Tahoma"/>
          <w:b/>
          <w:bCs/>
          <w:color w:val="000000"/>
          <w:sz w:val="18"/>
          <w:szCs w:val="18"/>
          <w:lang w:val="it-IT" w:eastAsia="en-US"/>
        </w:rPr>
        <w:t xml:space="preserve">riteria </w:t>
      </w:r>
    </w:p>
    <w:p w14:paraId="3DA47C72" w14:textId="77777777" w:rsidR="005A25A2" w:rsidRPr="003D0723" w:rsidRDefault="005A25A2" w:rsidP="005A25A2">
      <w:pPr>
        <w:autoSpaceDE w:val="0"/>
        <w:autoSpaceDN w:val="0"/>
        <w:adjustRightInd w:val="0"/>
        <w:spacing w:before="60" w:after="60"/>
        <w:rPr>
          <w:rFonts w:eastAsiaTheme="minorHAnsi" w:cs="Tahoma"/>
          <w:color w:val="000000"/>
          <w:sz w:val="18"/>
          <w:szCs w:val="18"/>
          <w:lang w:val="it-IT" w:eastAsia="en-US"/>
        </w:rPr>
      </w:pPr>
      <w:r w:rsidRPr="003D0723">
        <w:rPr>
          <w:rFonts w:eastAsiaTheme="minorHAnsi" w:cs="Tahoma"/>
          <w:color w:val="000000"/>
          <w:sz w:val="18"/>
          <w:szCs w:val="18"/>
          <w:u w:val="single"/>
          <w:lang w:val="it-IT" w:eastAsia="en-US"/>
        </w:rPr>
        <w:t>Primary syphilis</w:t>
      </w:r>
      <w:r w:rsidRPr="003D0723">
        <w:rPr>
          <w:rFonts w:eastAsiaTheme="minorHAnsi" w:cs="Tahoma"/>
          <w:color w:val="000000"/>
          <w:sz w:val="18"/>
          <w:szCs w:val="18"/>
          <w:lang w:val="it-IT" w:eastAsia="en-US"/>
        </w:rPr>
        <w:t xml:space="preserve"> </w:t>
      </w:r>
    </w:p>
    <w:p w14:paraId="6A46ECA4"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Any person with one or several (usually painless) chancres in the genital, perineal, anal area or mouth or pharyngeal mucosa or elsewhere </w:t>
      </w:r>
      <w:proofErr w:type="spellStart"/>
      <w:r w:rsidRPr="0073506E">
        <w:rPr>
          <w:rFonts w:eastAsiaTheme="minorHAnsi" w:cs="Tahoma"/>
          <w:color w:val="000000"/>
          <w:sz w:val="18"/>
          <w:szCs w:val="18"/>
          <w:lang w:eastAsia="en-US"/>
        </w:rPr>
        <w:t>extragenitally</w:t>
      </w:r>
      <w:proofErr w:type="spellEnd"/>
      <w:r w:rsidRPr="0073506E">
        <w:rPr>
          <w:rFonts w:eastAsiaTheme="minorHAnsi" w:cs="Tahoma"/>
          <w:color w:val="000000"/>
          <w:sz w:val="18"/>
          <w:szCs w:val="18"/>
          <w:lang w:eastAsia="en-US"/>
        </w:rPr>
        <w:t xml:space="preserve"> </w:t>
      </w:r>
    </w:p>
    <w:p w14:paraId="3DF13781" w14:textId="77777777" w:rsidR="005A25A2" w:rsidRPr="0073506E" w:rsidRDefault="005A25A2" w:rsidP="005A25A2">
      <w:pPr>
        <w:autoSpaceDE w:val="0"/>
        <w:autoSpaceDN w:val="0"/>
        <w:adjustRightInd w:val="0"/>
        <w:spacing w:before="60" w:after="60"/>
        <w:rPr>
          <w:rFonts w:eastAsiaTheme="minorHAnsi" w:cs="Tahoma"/>
          <w:color w:val="000000"/>
          <w:sz w:val="18"/>
          <w:szCs w:val="18"/>
          <w:u w:val="single"/>
          <w:lang w:eastAsia="en-US"/>
        </w:rPr>
      </w:pPr>
      <w:r w:rsidRPr="0073506E">
        <w:rPr>
          <w:rFonts w:eastAsiaTheme="minorHAnsi" w:cs="Tahoma"/>
          <w:color w:val="000000"/>
          <w:sz w:val="18"/>
          <w:szCs w:val="18"/>
          <w:u w:val="single"/>
          <w:lang w:eastAsia="en-US"/>
        </w:rPr>
        <w:t xml:space="preserve">Secondary syphilis </w:t>
      </w:r>
    </w:p>
    <w:p w14:paraId="69EB273A"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Any person with at least one of the following five: </w:t>
      </w:r>
    </w:p>
    <w:p w14:paraId="7D4CD454"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 Diffuse maculo-papular rash often involving palms and soles </w:t>
      </w:r>
    </w:p>
    <w:p w14:paraId="077A88D0" w14:textId="77777777" w:rsidR="005A25A2" w:rsidRPr="00BF71EC" w:rsidRDefault="005A25A2" w:rsidP="005A25A2">
      <w:pPr>
        <w:autoSpaceDE w:val="0"/>
        <w:autoSpaceDN w:val="0"/>
        <w:adjustRightInd w:val="0"/>
        <w:spacing w:before="60" w:after="60"/>
        <w:rPr>
          <w:rFonts w:eastAsiaTheme="minorHAnsi" w:cs="Tahoma"/>
          <w:color w:val="000000"/>
          <w:sz w:val="18"/>
          <w:szCs w:val="18"/>
          <w:lang w:val="it-IT" w:eastAsia="en-US"/>
        </w:rPr>
      </w:pPr>
      <w:r w:rsidRPr="00BF71EC">
        <w:rPr>
          <w:rFonts w:eastAsiaTheme="minorHAnsi" w:cs="Tahoma"/>
          <w:color w:val="000000"/>
          <w:sz w:val="18"/>
          <w:szCs w:val="18"/>
          <w:lang w:val="it-IT" w:eastAsia="en-US"/>
        </w:rPr>
        <w:t xml:space="preserve">— Generalised lymphadenopathy </w:t>
      </w:r>
    </w:p>
    <w:p w14:paraId="02DF556E" w14:textId="77777777" w:rsidR="005A25A2" w:rsidRPr="00BF71EC" w:rsidRDefault="005A25A2" w:rsidP="005A25A2">
      <w:pPr>
        <w:autoSpaceDE w:val="0"/>
        <w:autoSpaceDN w:val="0"/>
        <w:adjustRightInd w:val="0"/>
        <w:spacing w:before="60" w:after="60"/>
        <w:rPr>
          <w:rFonts w:eastAsiaTheme="minorHAnsi" w:cs="Tahoma"/>
          <w:color w:val="000000"/>
          <w:sz w:val="18"/>
          <w:szCs w:val="18"/>
          <w:lang w:val="it-IT" w:eastAsia="en-US"/>
        </w:rPr>
      </w:pPr>
      <w:r w:rsidRPr="00BF71EC">
        <w:rPr>
          <w:rFonts w:eastAsiaTheme="minorHAnsi" w:cs="Tahoma"/>
          <w:color w:val="000000"/>
          <w:sz w:val="18"/>
          <w:szCs w:val="18"/>
          <w:lang w:val="it-IT" w:eastAsia="en-US"/>
        </w:rPr>
        <w:t xml:space="preserve">— Condyloma lata </w:t>
      </w:r>
    </w:p>
    <w:p w14:paraId="4CDD0379" w14:textId="77777777" w:rsidR="005A25A2" w:rsidRPr="00BF71EC" w:rsidRDefault="005A25A2" w:rsidP="005A25A2">
      <w:pPr>
        <w:autoSpaceDE w:val="0"/>
        <w:autoSpaceDN w:val="0"/>
        <w:adjustRightInd w:val="0"/>
        <w:spacing w:before="60" w:after="60"/>
        <w:rPr>
          <w:rFonts w:eastAsiaTheme="minorHAnsi" w:cs="Tahoma"/>
          <w:color w:val="000000"/>
          <w:sz w:val="18"/>
          <w:szCs w:val="18"/>
          <w:lang w:val="it-IT" w:eastAsia="en-US"/>
        </w:rPr>
      </w:pPr>
      <w:r w:rsidRPr="00BF71EC">
        <w:rPr>
          <w:rFonts w:eastAsiaTheme="minorHAnsi" w:cs="Tahoma"/>
          <w:color w:val="000000"/>
          <w:sz w:val="18"/>
          <w:szCs w:val="18"/>
          <w:lang w:val="it-IT" w:eastAsia="en-US"/>
        </w:rPr>
        <w:t xml:space="preserve">— Enanthema </w:t>
      </w:r>
    </w:p>
    <w:p w14:paraId="55DB20BC" w14:textId="77777777" w:rsidR="005A25A2" w:rsidRPr="00BF71EC" w:rsidRDefault="005A25A2" w:rsidP="005A25A2">
      <w:pPr>
        <w:autoSpaceDE w:val="0"/>
        <w:autoSpaceDN w:val="0"/>
        <w:adjustRightInd w:val="0"/>
        <w:spacing w:before="60" w:after="60"/>
        <w:rPr>
          <w:rFonts w:eastAsiaTheme="minorHAnsi" w:cs="Tahoma"/>
          <w:color w:val="000000"/>
          <w:sz w:val="18"/>
          <w:szCs w:val="18"/>
          <w:lang w:val="it-IT" w:eastAsia="en-US"/>
        </w:rPr>
      </w:pPr>
      <w:r w:rsidRPr="00BF71EC">
        <w:rPr>
          <w:rFonts w:eastAsiaTheme="minorHAnsi" w:cs="Tahoma"/>
          <w:color w:val="000000"/>
          <w:sz w:val="18"/>
          <w:szCs w:val="18"/>
          <w:lang w:val="it-IT" w:eastAsia="en-US"/>
        </w:rPr>
        <w:t xml:space="preserve">— </w:t>
      </w:r>
      <w:r w:rsidRPr="00D33383">
        <w:rPr>
          <w:rFonts w:eastAsiaTheme="minorHAnsi" w:cs="Tahoma"/>
          <w:color w:val="000000"/>
          <w:sz w:val="18"/>
          <w:szCs w:val="18"/>
          <w:lang w:val="it-IT" w:eastAsia="en-US"/>
        </w:rPr>
        <w:t>Diffuse alopecia</w:t>
      </w:r>
    </w:p>
    <w:p w14:paraId="5283ACBB" w14:textId="77777777" w:rsidR="005A25A2" w:rsidRPr="008F0A8D" w:rsidRDefault="005A25A2" w:rsidP="005A25A2">
      <w:pPr>
        <w:autoSpaceDE w:val="0"/>
        <w:autoSpaceDN w:val="0"/>
        <w:adjustRightInd w:val="0"/>
        <w:spacing w:before="60" w:after="60"/>
        <w:rPr>
          <w:rFonts w:eastAsiaTheme="minorHAnsi" w:cs="Tahoma"/>
          <w:color w:val="000000"/>
          <w:sz w:val="18"/>
          <w:szCs w:val="18"/>
          <w:u w:val="single"/>
          <w:lang w:eastAsia="en-US"/>
        </w:rPr>
      </w:pPr>
      <w:r w:rsidRPr="008F0A8D">
        <w:rPr>
          <w:rFonts w:eastAsiaTheme="minorHAnsi" w:cs="Tahoma"/>
          <w:color w:val="000000"/>
          <w:sz w:val="18"/>
          <w:szCs w:val="18"/>
          <w:u w:val="single"/>
          <w:lang w:eastAsia="en-US"/>
        </w:rPr>
        <w:t>E</w:t>
      </w:r>
      <w:r>
        <w:rPr>
          <w:rFonts w:eastAsiaTheme="minorHAnsi" w:cs="Tahoma"/>
          <w:color w:val="000000"/>
          <w:sz w:val="18"/>
          <w:szCs w:val="18"/>
          <w:u w:val="single"/>
          <w:lang w:eastAsia="en-US"/>
        </w:rPr>
        <w:t>arly latent syphilis (&lt; 1 year)</w:t>
      </w:r>
    </w:p>
    <w:p w14:paraId="20865302"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r w:rsidRPr="00D33383">
        <w:rPr>
          <w:rFonts w:eastAsiaTheme="minorHAnsi" w:cs="Tahoma"/>
          <w:color w:val="000000"/>
          <w:sz w:val="18"/>
          <w:szCs w:val="18"/>
          <w:lang w:eastAsia="en-US"/>
        </w:rPr>
        <w:t>No symptoms and a history of symptoms compatible with those of the earlier stages of syphilis within the previous</w:t>
      </w:r>
      <w:r>
        <w:rPr>
          <w:rFonts w:eastAsiaTheme="minorHAnsi" w:cs="Tahoma"/>
          <w:color w:val="000000"/>
          <w:sz w:val="18"/>
          <w:szCs w:val="18"/>
          <w:lang w:eastAsia="en-US"/>
        </w:rPr>
        <w:t xml:space="preserve"> </w:t>
      </w:r>
      <w:r w:rsidRPr="00D33383">
        <w:rPr>
          <w:rFonts w:eastAsiaTheme="minorHAnsi" w:cs="Tahoma"/>
          <w:color w:val="000000"/>
          <w:sz w:val="18"/>
          <w:szCs w:val="18"/>
          <w:lang w:eastAsia="en-US"/>
        </w:rPr>
        <w:t>12 months</w:t>
      </w:r>
      <w:r>
        <w:rPr>
          <w:rFonts w:eastAsiaTheme="minorHAnsi" w:cs="Tahoma"/>
          <w:color w:val="000000"/>
          <w:sz w:val="18"/>
          <w:szCs w:val="18"/>
          <w:lang w:eastAsia="en-US"/>
        </w:rPr>
        <w:t>*</w:t>
      </w:r>
    </w:p>
    <w:p w14:paraId="5C2B3BBB"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p>
    <w:p w14:paraId="019F6422"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r w:rsidRPr="00D33383">
        <w:rPr>
          <w:rFonts w:eastAsiaTheme="minorHAnsi" w:cs="Tahoma"/>
          <w:color w:val="000000"/>
          <w:sz w:val="18"/>
          <w:szCs w:val="18"/>
          <w:lang w:eastAsia="en-US"/>
        </w:rPr>
        <w:t xml:space="preserve">Note that ocular and neurological manifestations may occur at any stage of syphilis. </w:t>
      </w:r>
    </w:p>
    <w:p w14:paraId="5AD10EBE" w14:textId="77777777" w:rsidR="005A25A2" w:rsidRPr="00D33383" w:rsidRDefault="005A25A2" w:rsidP="005A25A2">
      <w:pPr>
        <w:autoSpaceDE w:val="0"/>
        <w:autoSpaceDN w:val="0"/>
        <w:adjustRightInd w:val="0"/>
        <w:spacing w:before="60" w:after="60"/>
        <w:rPr>
          <w:rFonts w:eastAsiaTheme="minorHAnsi" w:cs="Tahoma"/>
          <w:color w:val="000000"/>
          <w:sz w:val="18"/>
          <w:szCs w:val="18"/>
          <w:lang w:eastAsia="en-US"/>
        </w:rPr>
      </w:pPr>
      <w:r w:rsidRPr="00D33383">
        <w:rPr>
          <w:rFonts w:eastAsiaTheme="minorHAnsi" w:cs="Tahoma"/>
          <w:color w:val="000000"/>
          <w:sz w:val="18"/>
          <w:szCs w:val="18"/>
          <w:lang w:eastAsia="en-US"/>
        </w:rPr>
        <w:t>Note that cases of late latent syphilis (&gt; 1 year) are not under EU/EEA surveillance.</w:t>
      </w:r>
    </w:p>
    <w:p w14:paraId="212F772D" w14:textId="77777777" w:rsidR="005A25A2" w:rsidRDefault="005A25A2" w:rsidP="005A25A2">
      <w:pPr>
        <w:autoSpaceDE w:val="0"/>
        <w:autoSpaceDN w:val="0"/>
        <w:adjustRightInd w:val="0"/>
        <w:spacing w:before="60" w:after="60"/>
        <w:rPr>
          <w:rFonts w:eastAsiaTheme="minorHAnsi" w:cs="Tahoma"/>
          <w:b/>
          <w:bCs/>
          <w:color w:val="000000"/>
          <w:sz w:val="18"/>
          <w:szCs w:val="18"/>
          <w:lang w:eastAsia="en-US"/>
        </w:rPr>
      </w:pPr>
    </w:p>
    <w:p w14:paraId="34FBCAB9" w14:textId="77777777" w:rsidR="005A25A2" w:rsidRDefault="005A25A2" w:rsidP="005A25A2">
      <w:pPr>
        <w:autoSpaceDE w:val="0"/>
        <w:autoSpaceDN w:val="0"/>
        <w:adjustRightInd w:val="0"/>
        <w:spacing w:before="60" w:after="60"/>
        <w:rPr>
          <w:rFonts w:eastAsiaTheme="minorHAnsi" w:cs="Tahoma"/>
          <w:i/>
          <w:iCs/>
          <w:color w:val="000000"/>
          <w:sz w:val="18"/>
          <w:szCs w:val="18"/>
          <w:lang w:eastAsia="en-US"/>
        </w:rPr>
      </w:pPr>
      <w:r>
        <w:rPr>
          <w:rFonts w:eastAsiaTheme="minorHAnsi" w:cs="Tahoma"/>
          <w:b/>
          <w:bCs/>
          <w:color w:val="000000"/>
          <w:sz w:val="18"/>
          <w:szCs w:val="18"/>
          <w:lang w:eastAsia="en-US"/>
        </w:rPr>
        <w:t xml:space="preserve">Laboratory criteria </w:t>
      </w:r>
    </w:p>
    <w:p w14:paraId="3A9CD8B9"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At least one of the following four laboratory tests: </w:t>
      </w:r>
    </w:p>
    <w:p w14:paraId="2E330FEB"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 Demonstration of </w:t>
      </w:r>
      <w:r w:rsidRPr="0073506E">
        <w:rPr>
          <w:rFonts w:eastAsiaTheme="minorHAnsi" w:cs="Tahoma"/>
          <w:i/>
          <w:iCs/>
          <w:color w:val="000000"/>
          <w:sz w:val="18"/>
          <w:szCs w:val="18"/>
          <w:lang w:eastAsia="en-US"/>
        </w:rPr>
        <w:t xml:space="preserve">Treponema pallidum </w:t>
      </w:r>
      <w:r w:rsidRPr="0073506E">
        <w:rPr>
          <w:rFonts w:eastAsiaTheme="minorHAnsi" w:cs="Tahoma"/>
          <w:color w:val="000000"/>
          <w:sz w:val="18"/>
          <w:szCs w:val="18"/>
          <w:lang w:eastAsia="en-US"/>
        </w:rPr>
        <w:t xml:space="preserve">in lesion exudates or tissues by dark-field microscopic examination </w:t>
      </w:r>
    </w:p>
    <w:p w14:paraId="77F6749F"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 Demonstration of </w:t>
      </w:r>
      <w:r w:rsidRPr="0073506E">
        <w:rPr>
          <w:rFonts w:eastAsiaTheme="minorHAnsi" w:cs="Tahoma"/>
          <w:i/>
          <w:iCs/>
          <w:color w:val="000000"/>
          <w:sz w:val="18"/>
          <w:szCs w:val="18"/>
          <w:lang w:eastAsia="en-US"/>
        </w:rPr>
        <w:t xml:space="preserve">Treponema pallidum </w:t>
      </w:r>
      <w:r w:rsidRPr="0073506E">
        <w:rPr>
          <w:rFonts w:eastAsiaTheme="minorHAnsi" w:cs="Tahoma"/>
          <w:color w:val="000000"/>
          <w:sz w:val="18"/>
          <w:szCs w:val="18"/>
          <w:lang w:eastAsia="en-US"/>
        </w:rPr>
        <w:t xml:space="preserve">in lesion exudates or tissues by DFA test </w:t>
      </w:r>
    </w:p>
    <w:p w14:paraId="44E4F830" w14:textId="77777777" w:rsidR="005A25A2" w:rsidRPr="00E2594C"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 Demonstration of </w:t>
      </w:r>
      <w:r w:rsidRPr="0073506E">
        <w:rPr>
          <w:rFonts w:eastAsiaTheme="minorHAnsi" w:cs="Tahoma"/>
          <w:i/>
          <w:iCs/>
          <w:color w:val="000000"/>
          <w:sz w:val="18"/>
          <w:szCs w:val="18"/>
          <w:lang w:eastAsia="en-US"/>
        </w:rPr>
        <w:t xml:space="preserve">Treponema </w:t>
      </w:r>
      <w:r w:rsidRPr="0073506E">
        <w:rPr>
          <w:rFonts w:eastAsiaTheme="minorHAnsi" w:cs="Tahoma"/>
          <w:color w:val="000000"/>
          <w:sz w:val="18"/>
          <w:szCs w:val="18"/>
          <w:lang w:eastAsia="en-US"/>
        </w:rPr>
        <w:t xml:space="preserve">in lesion exudates </w:t>
      </w:r>
      <w:r w:rsidRPr="00E2594C">
        <w:rPr>
          <w:rFonts w:eastAsiaTheme="minorHAnsi" w:cs="Tahoma"/>
          <w:color w:val="000000"/>
          <w:sz w:val="18"/>
          <w:szCs w:val="18"/>
          <w:lang w:eastAsia="en-US"/>
        </w:rPr>
        <w:t>or tissues by nuclear acid amplification techniques (NAAT)</w:t>
      </w:r>
    </w:p>
    <w:p w14:paraId="1F12302B"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 xml:space="preserve">— </w:t>
      </w:r>
      <w:r w:rsidRPr="00E2594C">
        <w:rPr>
          <w:rFonts w:eastAsiaTheme="minorHAnsi" w:cs="Tahoma"/>
          <w:color w:val="000000"/>
          <w:sz w:val="18"/>
          <w:szCs w:val="18"/>
          <w:lang w:eastAsia="en-US"/>
        </w:rPr>
        <w:t xml:space="preserve">Detection of </w:t>
      </w:r>
      <w:r w:rsidRPr="00E2594C">
        <w:rPr>
          <w:rFonts w:eastAsiaTheme="minorHAnsi" w:cs="Tahoma"/>
          <w:i/>
          <w:color w:val="000000"/>
          <w:sz w:val="18"/>
          <w:szCs w:val="18"/>
          <w:lang w:eastAsia="en-US"/>
        </w:rPr>
        <w:t>Treponema pallidum</w:t>
      </w:r>
      <w:r w:rsidRPr="00E2594C">
        <w:rPr>
          <w:rFonts w:eastAsiaTheme="minorHAnsi" w:cs="Tahoma"/>
          <w:color w:val="000000"/>
          <w:sz w:val="18"/>
          <w:szCs w:val="18"/>
          <w:lang w:eastAsia="en-US"/>
        </w:rPr>
        <w:t xml:space="preserve"> antibodies by screening test (TPHA, TPPA or EIA) AND additionally detection of</w:t>
      </w:r>
      <w:r>
        <w:rPr>
          <w:rFonts w:eastAsiaTheme="minorHAnsi" w:cs="Tahoma"/>
          <w:color w:val="000000"/>
          <w:sz w:val="18"/>
          <w:szCs w:val="18"/>
          <w:lang w:eastAsia="en-US"/>
        </w:rPr>
        <w:t xml:space="preserve"> </w:t>
      </w:r>
      <w:r w:rsidRPr="00E2594C">
        <w:rPr>
          <w:rFonts w:eastAsiaTheme="minorHAnsi" w:cs="Tahoma"/>
          <w:color w:val="000000"/>
          <w:sz w:val="18"/>
          <w:szCs w:val="18"/>
          <w:lang w:eastAsia="en-US"/>
        </w:rPr>
        <w:t>either TP-IgM antibodies (for example, IgM-ELISA or immunoblot or 19S-IgM-FTA-abs) OR non-TP antibodies (for</w:t>
      </w:r>
      <w:r>
        <w:rPr>
          <w:rFonts w:eastAsiaTheme="minorHAnsi" w:cs="Tahoma"/>
          <w:color w:val="000000"/>
          <w:sz w:val="18"/>
          <w:szCs w:val="18"/>
          <w:lang w:eastAsia="en-US"/>
        </w:rPr>
        <w:t xml:space="preserve"> </w:t>
      </w:r>
      <w:r w:rsidRPr="00E2594C">
        <w:rPr>
          <w:rFonts w:eastAsiaTheme="minorHAnsi" w:cs="Tahoma"/>
          <w:color w:val="000000"/>
          <w:sz w:val="18"/>
          <w:szCs w:val="18"/>
          <w:lang w:eastAsia="en-US"/>
        </w:rPr>
        <w:t xml:space="preserve">example, RPR, VDRL). </w:t>
      </w:r>
      <w:r w:rsidRPr="0073506E">
        <w:rPr>
          <w:rFonts w:eastAsiaTheme="minorHAnsi" w:cs="Tahoma"/>
          <w:color w:val="000000"/>
          <w:sz w:val="18"/>
          <w:szCs w:val="18"/>
          <w:lang w:eastAsia="en-US"/>
        </w:rPr>
        <w:t xml:space="preserve">  </w:t>
      </w:r>
    </w:p>
    <w:p w14:paraId="17CE9639" w14:textId="77777777" w:rsidR="005A25A2" w:rsidRDefault="005A25A2" w:rsidP="005A25A2">
      <w:pPr>
        <w:autoSpaceDE w:val="0"/>
        <w:autoSpaceDN w:val="0"/>
        <w:adjustRightInd w:val="0"/>
        <w:spacing w:before="60" w:after="60"/>
        <w:rPr>
          <w:rFonts w:eastAsiaTheme="minorHAnsi" w:cs="Tahoma"/>
          <w:b/>
          <w:bCs/>
          <w:color w:val="000000"/>
          <w:sz w:val="18"/>
          <w:szCs w:val="18"/>
          <w:lang w:eastAsia="en-US"/>
        </w:rPr>
      </w:pPr>
    </w:p>
    <w:p w14:paraId="6B65CFD0"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r>
        <w:rPr>
          <w:rFonts w:eastAsiaTheme="minorHAnsi" w:cs="Tahoma"/>
          <w:b/>
          <w:bCs/>
          <w:color w:val="000000"/>
          <w:sz w:val="18"/>
          <w:szCs w:val="18"/>
          <w:lang w:eastAsia="en-US"/>
        </w:rPr>
        <w:t xml:space="preserve">Epidemiological criteria </w:t>
      </w:r>
    </w:p>
    <w:p w14:paraId="3BE246DD" w14:textId="77777777" w:rsidR="005A25A2" w:rsidRPr="008F0A8D" w:rsidRDefault="005A25A2" w:rsidP="005A25A2">
      <w:pPr>
        <w:autoSpaceDE w:val="0"/>
        <w:autoSpaceDN w:val="0"/>
        <w:adjustRightInd w:val="0"/>
        <w:spacing w:before="60" w:after="60"/>
        <w:rPr>
          <w:rFonts w:eastAsiaTheme="minorHAnsi" w:cs="Tahoma"/>
          <w:color w:val="000000"/>
          <w:sz w:val="18"/>
          <w:szCs w:val="18"/>
          <w:u w:val="single"/>
          <w:lang w:eastAsia="en-US"/>
        </w:rPr>
      </w:pPr>
      <w:r w:rsidRPr="008F0A8D">
        <w:rPr>
          <w:rFonts w:eastAsiaTheme="minorHAnsi" w:cs="Tahoma"/>
          <w:color w:val="000000"/>
          <w:sz w:val="18"/>
          <w:szCs w:val="18"/>
          <w:u w:val="single"/>
          <w:lang w:eastAsia="en-US"/>
        </w:rPr>
        <w:t xml:space="preserve">Primary/secondary syphilis </w:t>
      </w:r>
    </w:p>
    <w:p w14:paraId="72C56021"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An epidemiological link by human</w:t>
      </w:r>
      <w:r>
        <w:rPr>
          <w:rFonts w:eastAsiaTheme="minorHAnsi" w:cs="Tahoma"/>
          <w:color w:val="000000"/>
          <w:sz w:val="18"/>
          <w:szCs w:val="18"/>
          <w:lang w:eastAsia="en-US"/>
        </w:rPr>
        <w:t>-</w:t>
      </w:r>
      <w:r w:rsidRPr="0073506E">
        <w:rPr>
          <w:rFonts w:eastAsiaTheme="minorHAnsi" w:cs="Tahoma"/>
          <w:color w:val="000000"/>
          <w:sz w:val="18"/>
          <w:szCs w:val="18"/>
          <w:lang w:eastAsia="en-US"/>
        </w:rPr>
        <w:t>to</w:t>
      </w:r>
      <w:r>
        <w:rPr>
          <w:rFonts w:eastAsiaTheme="minorHAnsi" w:cs="Tahoma"/>
          <w:color w:val="000000"/>
          <w:sz w:val="18"/>
          <w:szCs w:val="18"/>
          <w:lang w:eastAsia="en-US"/>
        </w:rPr>
        <w:t>-</w:t>
      </w:r>
      <w:r w:rsidRPr="0073506E">
        <w:rPr>
          <w:rFonts w:eastAsiaTheme="minorHAnsi" w:cs="Tahoma"/>
          <w:color w:val="000000"/>
          <w:sz w:val="18"/>
          <w:szCs w:val="18"/>
          <w:lang w:eastAsia="en-US"/>
        </w:rPr>
        <w:t xml:space="preserve">human (sexual contact) </w:t>
      </w:r>
    </w:p>
    <w:p w14:paraId="1905B5A5" w14:textId="77777777" w:rsidR="005A25A2" w:rsidRPr="008F0A8D" w:rsidRDefault="005A25A2" w:rsidP="005A25A2">
      <w:pPr>
        <w:autoSpaceDE w:val="0"/>
        <w:autoSpaceDN w:val="0"/>
        <w:adjustRightInd w:val="0"/>
        <w:spacing w:before="60" w:after="60"/>
        <w:rPr>
          <w:rFonts w:eastAsiaTheme="minorHAnsi" w:cs="Tahoma"/>
          <w:color w:val="000000"/>
          <w:sz w:val="18"/>
          <w:szCs w:val="18"/>
          <w:u w:val="single"/>
          <w:lang w:eastAsia="en-US"/>
        </w:rPr>
      </w:pPr>
      <w:r>
        <w:rPr>
          <w:rFonts w:eastAsiaTheme="minorHAnsi" w:cs="Tahoma"/>
          <w:color w:val="000000"/>
          <w:sz w:val="18"/>
          <w:szCs w:val="18"/>
          <w:u w:val="single"/>
          <w:lang w:eastAsia="en-US"/>
        </w:rPr>
        <w:t>Early latent syphilis</w:t>
      </w:r>
    </w:p>
    <w:p w14:paraId="0B1644E6" w14:textId="77777777" w:rsidR="005A25A2" w:rsidRPr="0073506E" w:rsidRDefault="005A25A2" w:rsidP="005A25A2">
      <w:pPr>
        <w:autoSpaceDE w:val="0"/>
        <w:autoSpaceDN w:val="0"/>
        <w:adjustRightInd w:val="0"/>
        <w:spacing w:before="60" w:after="60"/>
        <w:rPr>
          <w:rFonts w:eastAsiaTheme="minorHAnsi" w:cs="Tahoma"/>
          <w:color w:val="000000"/>
          <w:sz w:val="18"/>
          <w:szCs w:val="18"/>
          <w:lang w:eastAsia="en-US"/>
        </w:rPr>
      </w:pPr>
      <w:r w:rsidRPr="0073506E">
        <w:rPr>
          <w:rFonts w:eastAsiaTheme="minorHAnsi" w:cs="Tahoma"/>
          <w:color w:val="000000"/>
          <w:sz w:val="18"/>
          <w:szCs w:val="18"/>
          <w:lang w:eastAsia="en-US"/>
        </w:rPr>
        <w:t>An epidemiological link by human</w:t>
      </w:r>
      <w:r>
        <w:rPr>
          <w:rFonts w:eastAsiaTheme="minorHAnsi" w:cs="Tahoma"/>
          <w:color w:val="000000"/>
          <w:sz w:val="18"/>
          <w:szCs w:val="18"/>
          <w:lang w:eastAsia="en-US"/>
        </w:rPr>
        <w:t>-</w:t>
      </w:r>
      <w:r w:rsidRPr="0073506E">
        <w:rPr>
          <w:rFonts w:eastAsiaTheme="minorHAnsi" w:cs="Tahoma"/>
          <w:color w:val="000000"/>
          <w:sz w:val="18"/>
          <w:szCs w:val="18"/>
          <w:lang w:eastAsia="en-US"/>
        </w:rPr>
        <w:t>to</w:t>
      </w:r>
      <w:r>
        <w:rPr>
          <w:rFonts w:eastAsiaTheme="minorHAnsi" w:cs="Tahoma"/>
          <w:color w:val="000000"/>
          <w:sz w:val="18"/>
          <w:szCs w:val="18"/>
          <w:lang w:eastAsia="en-US"/>
        </w:rPr>
        <w:t>-</w:t>
      </w:r>
      <w:r w:rsidRPr="0073506E">
        <w:rPr>
          <w:rFonts w:eastAsiaTheme="minorHAnsi" w:cs="Tahoma"/>
          <w:color w:val="000000"/>
          <w:sz w:val="18"/>
          <w:szCs w:val="18"/>
          <w:lang w:eastAsia="en-US"/>
        </w:rPr>
        <w:t>human (sexual contact) within the 12 previous months</w:t>
      </w:r>
      <w:r>
        <w:rPr>
          <w:rFonts w:eastAsiaTheme="minorHAnsi" w:cs="Tahoma"/>
          <w:color w:val="000000"/>
          <w:sz w:val="18"/>
          <w:szCs w:val="18"/>
          <w:lang w:eastAsia="en-US"/>
        </w:rPr>
        <w:t>*</w:t>
      </w:r>
    </w:p>
    <w:p w14:paraId="705DE9BE" w14:textId="77777777" w:rsidR="005A25A2" w:rsidRDefault="005A25A2" w:rsidP="005A25A2">
      <w:pPr>
        <w:pStyle w:val="CM4"/>
        <w:spacing w:before="60" w:after="60"/>
        <w:rPr>
          <w:rFonts w:ascii="Tahoma" w:hAnsi="Tahoma" w:cs="Tahoma"/>
          <w:color w:val="000000"/>
          <w:sz w:val="18"/>
          <w:szCs w:val="18"/>
        </w:rPr>
      </w:pPr>
      <w:r>
        <w:rPr>
          <w:rFonts w:ascii="Tahoma" w:hAnsi="Tahoma" w:cs="Tahoma"/>
          <w:b/>
          <w:sz w:val="18"/>
          <w:szCs w:val="18"/>
        </w:rPr>
        <w:t>Case classification</w:t>
      </w:r>
    </w:p>
    <w:p w14:paraId="5DDD1515"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r>
        <w:rPr>
          <w:rFonts w:eastAsiaTheme="minorHAnsi" w:cs="Tahoma"/>
          <w:color w:val="000000"/>
          <w:sz w:val="18"/>
          <w:szCs w:val="18"/>
          <w:lang w:eastAsia="en-US"/>
        </w:rPr>
        <w:t>A. Probable case: Any person meeting the clinical criteria and with an epidemiological link</w:t>
      </w:r>
    </w:p>
    <w:p w14:paraId="057EB899" w14:textId="77777777" w:rsidR="005A25A2" w:rsidRDefault="005A25A2" w:rsidP="005A25A2">
      <w:pPr>
        <w:autoSpaceDE w:val="0"/>
        <w:autoSpaceDN w:val="0"/>
        <w:adjustRightInd w:val="0"/>
        <w:spacing w:before="60" w:after="60"/>
        <w:rPr>
          <w:rFonts w:eastAsiaTheme="minorHAnsi" w:cs="Tahoma"/>
          <w:sz w:val="18"/>
          <w:szCs w:val="18"/>
          <w:lang w:eastAsia="en-US"/>
        </w:rPr>
      </w:pPr>
      <w:r>
        <w:rPr>
          <w:rFonts w:eastAsiaTheme="minorHAnsi" w:cs="Tahoma"/>
          <w:color w:val="000000"/>
          <w:sz w:val="18"/>
          <w:szCs w:val="18"/>
          <w:lang w:eastAsia="en-US"/>
        </w:rPr>
        <w:t xml:space="preserve">B. </w:t>
      </w:r>
      <w:r>
        <w:rPr>
          <w:rFonts w:eastAsiaTheme="minorHAnsi" w:cs="Tahoma"/>
          <w:bCs/>
          <w:color w:val="000000"/>
          <w:sz w:val="18"/>
          <w:szCs w:val="18"/>
          <w:lang w:eastAsia="en-US"/>
        </w:rPr>
        <w:t xml:space="preserve">Confirmed case: </w:t>
      </w:r>
      <w:r>
        <w:rPr>
          <w:rFonts w:eastAsiaTheme="minorHAnsi" w:cs="Tahoma"/>
          <w:sz w:val="18"/>
          <w:szCs w:val="18"/>
          <w:lang w:eastAsia="en-US"/>
        </w:rPr>
        <w:t>Any person meeting the laboratory criteria for case confirmation</w:t>
      </w:r>
    </w:p>
    <w:p w14:paraId="697C839F"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p>
    <w:p w14:paraId="68D253E2" w14:textId="77777777" w:rsidR="005A25A2" w:rsidRDefault="005A25A2" w:rsidP="005A25A2">
      <w:pPr>
        <w:autoSpaceDE w:val="0"/>
        <w:autoSpaceDN w:val="0"/>
        <w:adjustRightInd w:val="0"/>
        <w:spacing w:before="60" w:after="60"/>
        <w:rPr>
          <w:rFonts w:eastAsiaTheme="minorHAnsi" w:cs="Tahoma"/>
          <w:i/>
          <w:color w:val="000000"/>
          <w:sz w:val="18"/>
          <w:szCs w:val="18"/>
          <w:lang w:eastAsia="en-US"/>
        </w:rPr>
      </w:pPr>
      <w:r>
        <w:rPr>
          <w:rFonts w:eastAsiaTheme="minorHAnsi" w:cs="Tahoma"/>
          <w:i/>
          <w:color w:val="000000"/>
          <w:sz w:val="18"/>
          <w:szCs w:val="18"/>
          <w:lang w:eastAsia="en-US"/>
        </w:rPr>
        <w:t xml:space="preserve">* United Kingdom uses 24 months as a cut-off for early latent syphilis </w:t>
      </w:r>
    </w:p>
    <w:p w14:paraId="67E8FF3C" w14:textId="77777777" w:rsidR="005A25A2" w:rsidRDefault="005A25A2" w:rsidP="005A25A2">
      <w:pPr>
        <w:autoSpaceDE w:val="0"/>
        <w:autoSpaceDN w:val="0"/>
        <w:adjustRightInd w:val="0"/>
        <w:spacing w:before="60" w:after="60"/>
        <w:rPr>
          <w:rFonts w:eastAsiaTheme="minorHAnsi" w:cs="Tahoma"/>
          <w:color w:val="000000"/>
          <w:sz w:val="18"/>
          <w:szCs w:val="18"/>
          <w:lang w:eastAsia="en-US"/>
        </w:rPr>
      </w:pPr>
    </w:p>
    <w:p w14:paraId="70947D7B" w14:textId="77777777" w:rsidR="005A25A2" w:rsidRPr="00452AF8" w:rsidRDefault="005A25A2" w:rsidP="005A25A2">
      <w:pPr>
        <w:pStyle w:val="EC-Title-6"/>
        <w:keepNext/>
        <w:rPr>
          <w:rFonts w:cs="Tahoma"/>
          <w:b w:val="0"/>
        </w:rPr>
      </w:pPr>
      <w:bookmarkStart w:id="38" w:name="_Toc175577685"/>
      <w:r w:rsidRPr="00BD0ACE">
        <w:rPr>
          <w:rFonts w:cs="Tahoma"/>
          <w:b w:val="0"/>
        </w:rPr>
        <w:t>Data collection and analysis</w:t>
      </w:r>
      <w:bookmarkEnd w:id="38"/>
      <w:r w:rsidRPr="00BD0ACE">
        <w:rPr>
          <w:rFonts w:cs="Tahoma"/>
          <w:b w:val="0"/>
        </w:rPr>
        <w:t xml:space="preserve"> </w:t>
      </w:r>
    </w:p>
    <w:p w14:paraId="0B9ECBFA" w14:textId="68F787B8" w:rsidR="005A25A2" w:rsidRDefault="005A25A2" w:rsidP="005A25A2">
      <w:pPr>
        <w:pStyle w:val="EC-Para"/>
        <w:spacing w:line="240" w:lineRule="auto"/>
        <w:jc w:val="both"/>
        <w:rPr>
          <w:rFonts w:cs="Tahoma"/>
        </w:rPr>
      </w:pPr>
      <w:r>
        <w:rPr>
          <w:rFonts w:cs="Tahoma"/>
        </w:rPr>
        <w:t xml:space="preserve">Data are collected on an annual basis. The Surveillance Atlas indicators are calculated for cases up to the end of </w:t>
      </w:r>
      <w:r w:rsidR="000D37D6">
        <w:rPr>
          <w:rFonts w:cs="Tahoma"/>
        </w:rPr>
        <w:t>2023</w:t>
      </w:r>
      <w:r>
        <w:rPr>
          <w:rFonts w:cs="Tahoma"/>
        </w:rPr>
        <w:t xml:space="preserve">. </w:t>
      </w:r>
      <w:r w:rsidRPr="007B34B1">
        <w:rPr>
          <w:rFonts w:cs="Tahoma"/>
        </w:rPr>
        <w:t>Prior to analys</w:t>
      </w:r>
      <w:r>
        <w:rPr>
          <w:rFonts w:cs="Tahoma"/>
        </w:rPr>
        <w:t>i</w:t>
      </w:r>
      <w:r w:rsidRPr="007B34B1">
        <w:rPr>
          <w:rFonts w:cs="Tahoma"/>
        </w:rPr>
        <w:t xml:space="preserve">s, data are validated with nominated data providers in each EU/EEA country. </w:t>
      </w:r>
      <w:r>
        <w:rPr>
          <w:rFonts w:cs="Tahoma"/>
        </w:rPr>
        <w:t>Data from countries with sentinel surveillance systems are excluded from</w:t>
      </w:r>
      <w:r>
        <w:t xml:space="preserve"> the calculation of notification rates. Country population denominators by age group and gender were obtained from Eurostat</w:t>
      </w:r>
      <w:r>
        <w:rPr>
          <w:rStyle w:val="FootnoteReference"/>
        </w:rPr>
        <w:footnoteReference w:id="7"/>
      </w:r>
      <w:r>
        <w:t xml:space="preserve"> for the calculation of notification rates.</w:t>
      </w:r>
      <w:r>
        <w:rPr>
          <w:rFonts w:cstheme="minorHAnsi"/>
        </w:rPr>
        <w:t xml:space="preserve"> Note that the data published in the Surveillance Atlas might differ from figures in national reports due to different times of reporting, inclusion of cases by different case definitions and use of different denominators.</w:t>
      </w:r>
    </w:p>
    <w:p w14:paraId="6603E5B3" w14:textId="77777777" w:rsidR="005A25A2" w:rsidRDefault="005A25A2" w:rsidP="005A25A2">
      <w:pPr>
        <w:pStyle w:val="EC-Para"/>
        <w:jc w:val="both"/>
        <w:rPr>
          <w:rFonts w:cs="Tahoma"/>
        </w:rPr>
      </w:pPr>
      <w:r w:rsidRPr="00B44E2D">
        <w:t xml:space="preserve">Indicators were not calculated for variables for which a threshold level of completeness for a given geographical resolution (e.g. country, EU/EEA) and </w:t>
      </w:r>
      <w:proofErr w:type="gramStart"/>
      <w:r w:rsidRPr="00B44E2D">
        <w:t>time period</w:t>
      </w:r>
      <w:proofErr w:type="gramEnd"/>
      <w:r w:rsidRPr="00B44E2D">
        <w:t xml:space="preserve"> has not been reached. </w:t>
      </w:r>
      <w:r>
        <w:rPr>
          <w:rFonts w:cs="Tahoma"/>
        </w:rPr>
        <w:t>Surveillance systems across the EU/EEA countries are heterogeneous and a surveillance systems overview is displayed below.</w:t>
      </w:r>
    </w:p>
    <w:p w14:paraId="3E8FE07D" w14:textId="77777777" w:rsidR="005A25A2" w:rsidRPr="0072746F" w:rsidRDefault="005A25A2" w:rsidP="005A25A2">
      <w:pPr>
        <w:pStyle w:val="EC-Title-6"/>
        <w:rPr>
          <w:rFonts w:cs="Tahoma"/>
          <w:b w:val="0"/>
        </w:rPr>
      </w:pPr>
      <w:bookmarkStart w:id="39" w:name="_Toc175577686"/>
      <w:r w:rsidRPr="0072746F">
        <w:rPr>
          <w:rFonts w:cs="Tahoma"/>
          <w:b w:val="0"/>
        </w:rPr>
        <w:t>Surveillance Atlas indicators</w:t>
      </w:r>
      <w:bookmarkEnd w:id="39"/>
    </w:p>
    <w:p w14:paraId="30A3FACC" w14:textId="77777777" w:rsidR="005A25A2" w:rsidRDefault="005A25A2" w:rsidP="005A25A2">
      <w:pPr>
        <w:pStyle w:val="EC-Para"/>
        <w:rPr>
          <w:rFonts w:cs="Tahoma"/>
        </w:rPr>
      </w:pPr>
      <w:r>
        <w:rPr>
          <w:rFonts w:cs="Tahoma"/>
        </w:rPr>
        <w:t xml:space="preserve">All Surveillance Atlas indicators for sexually transmitted infections are classified according to the “date of diagnosis”. If the “date of diagnosis” is not reported, the “date used for statistics” is used instead. </w:t>
      </w:r>
    </w:p>
    <w:p w14:paraId="1DD9205B" w14:textId="77777777" w:rsidR="005A25A2" w:rsidRPr="00BB31FF" w:rsidRDefault="005A25A2" w:rsidP="005A25A2">
      <w:pPr>
        <w:pStyle w:val="EC-Para"/>
        <w:rPr>
          <w:rFonts w:cs="Tahoma"/>
        </w:rPr>
      </w:pPr>
      <w:r w:rsidRPr="00BB31FF">
        <w:rPr>
          <w:rFonts w:cs="Tahoma"/>
        </w:rPr>
        <w:t>The Surveillance Atlas indicators for syphilis are:</w:t>
      </w:r>
    </w:p>
    <w:p w14:paraId="2DBAF809" w14:textId="77777777" w:rsidR="005A25A2" w:rsidRPr="00BB31FF" w:rsidRDefault="005A25A2" w:rsidP="005A25A2">
      <w:pPr>
        <w:pStyle w:val="EC-Para"/>
        <w:numPr>
          <w:ilvl w:val="0"/>
          <w:numId w:val="16"/>
        </w:numPr>
        <w:spacing w:after="0"/>
        <w:rPr>
          <w:rFonts w:cs="Tahoma"/>
        </w:rPr>
      </w:pPr>
      <w:r w:rsidRPr="00BB31FF">
        <w:rPr>
          <w:rFonts w:cs="Tahoma"/>
        </w:rPr>
        <w:t xml:space="preserve">Number of reported </w:t>
      </w:r>
      <w:proofErr w:type="gramStart"/>
      <w:r w:rsidRPr="00BB31FF">
        <w:rPr>
          <w:rFonts w:cs="Tahoma"/>
        </w:rPr>
        <w:t>cases</w:t>
      </w:r>
      <w:r>
        <w:rPr>
          <w:rFonts w:cs="Tahoma"/>
        </w:rPr>
        <w:t>;</w:t>
      </w:r>
      <w:proofErr w:type="gramEnd"/>
    </w:p>
    <w:p w14:paraId="78CA34DA" w14:textId="77777777" w:rsidR="005A25A2" w:rsidRDefault="005A25A2" w:rsidP="005A25A2">
      <w:pPr>
        <w:pStyle w:val="EC-Para"/>
        <w:numPr>
          <w:ilvl w:val="0"/>
          <w:numId w:val="16"/>
        </w:numPr>
        <w:spacing w:after="0"/>
        <w:rPr>
          <w:rFonts w:cs="Tahoma"/>
        </w:rPr>
      </w:pPr>
      <w:r w:rsidRPr="00BB31FF">
        <w:rPr>
          <w:rFonts w:cs="Tahoma"/>
        </w:rPr>
        <w:t xml:space="preserve">Notification rate per 100 000 </w:t>
      </w:r>
      <w:proofErr w:type="gramStart"/>
      <w:r w:rsidRPr="00BB31FF">
        <w:rPr>
          <w:rFonts w:cs="Tahoma"/>
        </w:rPr>
        <w:t>population</w:t>
      </w:r>
      <w:r>
        <w:rPr>
          <w:rFonts w:cs="Tahoma"/>
        </w:rPr>
        <w:t>;</w:t>
      </w:r>
      <w:proofErr w:type="gramEnd"/>
    </w:p>
    <w:p w14:paraId="005A8942" w14:textId="77777777" w:rsidR="005A25A2" w:rsidRPr="00BB31FF" w:rsidRDefault="005A25A2" w:rsidP="005A25A2">
      <w:pPr>
        <w:pStyle w:val="EC-Para"/>
        <w:numPr>
          <w:ilvl w:val="0"/>
          <w:numId w:val="16"/>
        </w:numPr>
        <w:spacing w:after="0"/>
        <w:rPr>
          <w:rFonts w:cs="Tahoma"/>
        </w:rPr>
      </w:pPr>
      <w:r>
        <w:rPr>
          <w:rFonts w:cs="Tahoma"/>
        </w:rPr>
        <w:t>Age-standardised rate per 100 000 population.</w:t>
      </w:r>
    </w:p>
    <w:p w14:paraId="2C505868" w14:textId="77777777" w:rsidR="005A25A2" w:rsidRPr="00BB31FF" w:rsidRDefault="005A25A2" w:rsidP="005A25A2">
      <w:pPr>
        <w:pStyle w:val="EC-Para"/>
        <w:spacing w:after="0"/>
        <w:ind w:left="720"/>
        <w:rPr>
          <w:rFonts w:cs="Tahoma"/>
        </w:rPr>
      </w:pPr>
    </w:p>
    <w:p w14:paraId="215C66CD" w14:textId="77777777" w:rsidR="005A25A2" w:rsidRPr="00BB31FF" w:rsidRDefault="005A25A2" w:rsidP="005A25A2">
      <w:pPr>
        <w:pStyle w:val="EC-Para"/>
        <w:spacing w:after="0"/>
        <w:rPr>
          <w:rFonts w:cs="Tahoma"/>
        </w:rPr>
      </w:pPr>
      <w:r w:rsidRPr="00BB31FF">
        <w:rPr>
          <w:rFonts w:cs="Tahoma"/>
        </w:rPr>
        <w:t>The indicators are available for the following populations:</w:t>
      </w:r>
    </w:p>
    <w:p w14:paraId="70E0803D" w14:textId="77777777" w:rsidR="005A25A2" w:rsidRPr="00BB31FF" w:rsidRDefault="005A25A2" w:rsidP="005A25A2">
      <w:pPr>
        <w:pStyle w:val="EC-Para"/>
        <w:numPr>
          <w:ilvl w:val="0"/>
          <w:numId w:val="2"/>
        </w:numPr>
        <w:spacing w:after="0"/>
        <w:ind w:left="709" w:hanging="283"/>
        <w:rPr>
          <w:rFonts w:cs="Tahoma"/>
        </w:rPr>
      </w:pPr>
      <w:r>
        <w:rPr>
          <w:rFonts w:cs="Tahoma"/>
        </w:rPr>
        <w:t>C</w:t>
      </w:r>
      <w:r w:rsidRPr="00BB31FF">
        <w:rPr>
          <w:rFonts w:cs="Tahoma"/>
        </w:rPr>
        <w:t xml:space="preserve">onfirmed </w:t>
      </w:r>
      <w:proofErr w:type="gramStart"/>
      <w:r w:rsidRPr="00BB31FF">
        <w:rPr>
          <w:rFonts w:cs="Tahoma"/>
        </w:rPr>
        <w:t>cases</w:t>
      </w:r>
      <w:r>
        <w:rPr>
          <w:rFonts w:cs="Tahoma"/>
        </w:rPr>
        <w:t>;</w:t>
      </w:r>
      <w:proofErr w:type="gramEnd"/>
    </w:p>
    <w:p w14:paraId="6FA4A615" w14:textId="77777777" w:rsidR="005A25A2" w:rsidRPr="00BB31FF" w:rsidRDefault="005A25A2" w:rsidP="005A25A2">
      <w:pPr>
        <w:pStyle w:val="EC-Para"/>
        <w:numPr>
          <w:ilvl w:val="0"/>
          <w:numId w:val="2"/>
        </w:numPr>
        <w:spacing w:after="0"/>
        <w:ind w:left="709" w:hanging="283"/>
        <w:rPr>
          <w:rFonts w:cs="Tahoma"/>
        </w:rPr>
      </w:pPr>
      <w:r w:rsidRPr="00BB31FF">
        <w:rPr>
          <w:rFonts w:cs="Tahoma"/>
        </w:rPr>
        <w:t xml:space="preserve">Young adults (age 15-24 years), confirmed </w:t>
      </w:r>
      <w:proofErr w:type="gramStart"/>
      <w:r w:rsidRPr="00BB31FF">
        <w:rPr>
          <w:rFonts w:cs="Tahoma"/>
        </w:rPr>
        <w:t>cases</w:t>
      </w:r>
      <w:r>
        <w:rPr>
          <w:rFonts w:cs="Tahoma"/>
        </w:rPr>
        <w:t>;</w:t>
      </w:r>
      <w:proofErr w:type="gramEnd"/>
    </w:p>
    <w:p w14:paraId="1A8472A3" w14:textId="77777777" w:rsidR="005A25A2" w:rsidRPr="00BB31FF" w:rsidRDefault="005A25A2" w:rsidP="005A25A2">
      <w:pPr>
        <w:pStyle w:val="EC-Para"/>
        <w:numPr>
          <w:ilvl w:val="0"/>
          <w:numId w:val="2"/>
        </w:numPr>
        <w:spacing w:after="0"/>
        <w:ind w:left="709" w:hanging="283"/>
        <w:rPr>
          <w:rFonts w:cs="Tahoma"/>
        </w:rPr>
      </w:pPr>
      <w:r w:rsidRPr="00BB31FF">
        <w:rPr>
          <w:rFonts w:cs="Tahoma"/>
        </w:rPr>
        <w:t>Men who have sex with men, confirmed cases</w:t>
      </w:r>
      <w:r>
        <w:rPr>
          <w:rFonts w:cs="Tahoma"/>
        </w:rPr>
        <w:t>. Notification rates for men who have sex with men are calculated per 100 000 men as individual country denominators are not available.</w:t>
      </w:r>
    </w:p>
    <w:p w14:paraId="662E8631" w14:textId="77777777" w:rsidR="005A25A2" w:rsidRPr="00BB31FF" w:rsidRDefault="005A25A2" w:rsidP="005A25A2">
      <w:pPr>
        <w:pStyle w:val="EC-Para"/>
        <w:spacing w:after="0"/>
        <w:rPr>
          <w:rFonts w:cs="Tahoma"/>
        </w:rPr>
      </w:pPr>
    </w:p>
    <w:p w14:paraId="21DF01BC" w14:textId="77777777" w:rsidR="005A25A2" w:rsidRPr="00BB31FF" w:rsidRDefault="005A25A2" w:rsidP="005A25A2">
      <w:pPr>
        <w:autoSpaceDE w:val="0"/>
        <w:autoSpaceDN w:val="0"/>
        <w:spacing w:line="200" w:lineRule="atLeast"/>
        <w:rPr>
          <w:rFonts w:ascii="Calibri" w:eastAsiaTheme="minorHAnsi" w:hAnsi="Calibri"/>
          <w:sz w:val="18"/>
          <w:szCs w:val="18"/>
          <w:lang w:eastAsia="en-US"/>
        </w:rPr>
      </w:pPr>
      <w:r w:rsidRPr="00BB31FF">
        <w:rPr>
          <w:sz w:val="18"/>
          <w:szCs w:val="18"/>
        </w:rPr>
        <w:t xml:space="preserve">For </w:t>
      </w:r>
      <w:r w:rsidRPr="00BB31FF">
        <w:rPr>
          <w:sz w:val="18"/>
          <w:szCs w:val="18"/>
          <w:u w:val="single"/>
        </w:rPr>
        <w:t>notification rate indicators</w:t>
      </w:r>
      <w:r w:rsidRPr="00BB31FF">
        <w:rPr>
          <w:sz w:val="18"/>
          <w:szCs w:val="18"/>
        </w:rPr>
        <w:t xml:space="preserve">, the data may be displayed in a bar chart as:  </w:t>
      </w:r>
    </w:p>
    <w:p w14:paraId="03524D69" w14:textId="77777777" w:rsidR="005A25A2" w:rsidRPr="00BB31FF" w:rsidRDefault="005A25A2" w:rsidP="005A25A2">
      <w:pPr>
        <w:numPr>
          <w:ilvl w:val="0"/>
          <w:numId w:val="4"/>
        </w:numPr>
        <w:autoSpaceDE w:val="0"/>
        <w:autoSpaceDN w:val="0"/>
        <w:spacing w:line="200" w:lineRule="atLeast"/>
        <w:rPr>
          <w:sz w:val="18"/>
          <w:szCs w:val="18"/>
        </w:rPr>
      </w:pPr>
      <w:r w:rsidRPr="00BB31FF">
        <w:rPr>
          <w:sz w:val="18"/>
          <w:szCs w:val="18"/>
        </w:rPr>
        <w:t xml:space="preserve">Age-specific notification rate </w:t>
      </w:r>
      <w:r w:rsidRPr="00BB31FF">
        <w:rPr>
          <w:rFonts w:eastAsia="Arial Unicode MS" w:cs="Tahoma"/>
          <w:kern w:val="22"/>
          <w:sz w:val="18"/>
          <w:szCs w:val="18"/>
        </w:rPr>
        <w:t>(0-14, 15-</w:t>
      </w:r>
      <w:r>
        <w:rPr>
          <w:rFonts w:eastAsia="Arial Unicode MS" w:cs="Tahoma"/>
          <w:kern w:val="22"/>
          <w:sz w:val="18"/>
          <w:szCs w:val="18"/>
        </w:rPr>
        <w:t>24</w:t>
      </w:r>
      <w:r w:rsidRPr="00BB31FF">
        <w:rPr>
          <w:rFonts w:eastAsia="Arial Unicode MS" w:cs="Tahoma"/>
          <w:kern w:val="22"/>
          <w:sz w:val="18"/>
          <w:szCs w:val="18"/>
        </w:rPr>
        <w:t>, 25-34, 35-44, 45 years and above</w:t>
      </w:r>
      <w:proofErr w:type="gramStart"/>
      <w:r w:rsidRPr="00BB31FF">
        <w:rPr>
          <w:rFonts w:eastAsia="Arial Unicode MS" w:cs="Tahoma"/>
          <w:kern w:val="22"/>
          <w:sz w:val="18"/>
          <w:szCs w:val="18"/>
        </w:rPr>
        <w:t>);</w:t>
      </w:r>
      <w:proofErr w:type="gramEnd"/>
    </w:p>
    <w:p w14:paraId="07706CE5" w14:textId="77777777" w:rsidR="005A25A2" w:rsidRPr="00BB31FF" w:rsidRDefault="005A25A2" w:rsidP="005A25A2">
      <w:pPr>
        <w:numPr>
          <w:ilvl w:val="0"/>
          <w:numId w:val="4"/>
        </w:numPr>
        <w:autoSpaceDE w:val="0"/>
        <w:autoSpaceDN w:val="0"/>
        <w:spacing w:line="200" w:lineRule="atLeast"/>
        <w:rPr>
          <w:sz w:val="18"/>
          <w:szCs w:val="18"/>
        </w:rPr>
      </w:pPr>
      <w:r w:rsidRPr="00BB31FF">
        <w:rPr>
          <w:sz w:val="18"/>
          <w:szCs w:val="18"/>
        </w:rPr>
        <w:t>Gender-specific notification rate</w:t>
      </w:r>
      <w:r>
        <w:rPr>
          <w:sz w:val="18"/>
          <w:szCs w:val="18"/>
        </w:rPr>
        <w:t>.</w:t>
      </w:r>
    </w:p>
    <w:p w14:paraId="7F0E4610" w14:textId="77777777" w:rsidR="005A25A2" w:rsidRPr="00BB31FF" w:rsidRDefault="005A25A2" w:rsidP="005A25A2">
      <w:pPr>
        <w:autoSpaceDE w:val="0"/>
        <w:autoSpaceDN w:val="0"/>
        <w:spacing w:line="200" w:lineRule="atLeast"/>
        <w:rPr>
          <w:sz w:val="18"/>
          <w:szCs w:val="18"/>
        </w:rPr>
      </w:pPr>
    </w:p>
    <w:p w14:paraId="61A2BF79" w14:textId="77777777" w:rsidR="005A25A2" w:rsidRPr="00BB31FF" w:rsidRDefault="005A25A2" w:rsidP="005A25A2">
      <w:pPr>
        <w:autoSpaceDE w:val="0"/>
        <w:autoSpaceDN w:val="0"/>
        <w:spacing w:line="200" w:lineRule="atLeast"/>
        <w:rPr>
          <w:sz w:val="18"/>
          <w:szCs w:val="18"/>
        </w:rPr>
      </w:pPr>
      <w:r w:rsidRPr="00BB31FF">
        <w:rPr>
          <w:sz w:val="18"/>
          <w:szCs w:val="18"/>
        </w:rPr>
        <w:t xml:space="preserve">For </w:t>
      </w:r>
      <w:r w:rsidRPr="00BB31FF">
        <w:rPr>
          <w:sz w:val="18"/>
          <w:szCs w:val="18"/>
          <w:u w:val="single"/>
        </w:rPr>
        <w:t>all other indicators</w:t>
      </w:r>
      <w:r w:rsidRPr="00BB31FF">
        <w:rPr>
          <w:sz w:val="18"/>
          <w:szCs w:val="18"/>
        </w:rPr>
        <w:t xml:space="preserve">, the data may be displayed in a bar chart or a pie chart by proportion of:  </w:t>
      </w:r>
    </w:p>
    <w:p w14:paraId="3B9876A0" w14:textId="77777777" w:rsidR="005A25A2" w:rsidRPr="00BB31FF" w:rsidRDefault="005A25A2" w:rsidP="005A25A2">
      <w:pPr>
        <w:numPr>
          <w:ilvl w:val="0"/>
          <w:numId w:val="4"/>
        </w:numPr>
        <w:autoSpaceDE w:val="0"/>
        <w:autoSpaceDN w:val="0"/>
        <w:spacing w:line="200" w:lineRule="atLeast"/>
        <w:rPr>
          <w:sz w:val="18"/>
          <w:szCs w:val="18"/>
        </w:rPr>
      </w:pPr>
      <w:r w:rsidRPr="00BB31FF">
        <w:rPr>
          <w:sz w:val="18"/>
          <w:szCs w:val="18"/>
        </w:rPr>
        <w:t xml:space="preserve">Age groups </w:t>
      </w:r>
      <w:r w:rsidRPr="00BB31FF">
        <w:rPr>
          <w:rFonts w:eastAsia="Arial Unicode MS" w:cs="Tahoma"/>
          <w:kern w:val="22"/>
          <w:sz w:val="18"/>
          <w:szCs w:val="18"/>
        </w:rPr>
        <w:t>(0-14, 15-</w:t>
      </w:r>
      <w:r>
        <w:rPr>
          <w:rFonts w:eastAsia="Arial Unicode MS" w:cs="Tahoma"/>
          <w:kern w:val="22"/>
          <w:sz w:val="18"/>
          <w:szCs w:val="18"/>
        </w:rPr>
        <w:t>24,</w:t>
      </w:r>
      <w:r w:rsidRPr="00BB31FF">
        <w:rPr>
          <w:rFonts w:eastAsia="Arial Unicode MS" w:cs="Tahoma"/>
          <w:kern w:val="22"/>
          <w:sz w:val="18"/>
          <w:szCs w:val="18"/>
        </w:rPr>
        <w:t xml:space="preserve"> 25-34, 35-44, 45 years and above</w:t>
      </w:r>
      <w:proofErr w:type="gramStart"/>
      <w:r w:rsidRPr="00BB31FF">
        <w:rPr>
          <w:rFonts w:eastAsia="Arial Unicode MS" w:cs="Tahoma"/>
          <w:kern w:val="22"/>
          <w:sz w:val="18"/>
          <w:szCs w:val="18"/>
        </w:rPr>
        <w:t>);</w:t>
      </w:r>
      <w:proofErr w:type="gramEnd"/>
    </w:p>
    <w:p w14:paraId="630BA0A7" w14:textId="77777777" w:rsidR="005A25A2" w:rsidRPr="002E6FA8" w:rsidRDefault="005A25A2" w:rsidP="005A25A2">
      <w:pPr>
        <w:numPr>
          <w:ilvl w:val="0"/>
          <w:numId w:val="4"/>
        </w:numPr>
        <w:autoSpaceDE w:val="0"/>
        <w:autoSpaceDN w:val="0"/>
        <w:spacing w:line="200" w:lineRule="atLeast"/>
        <w:rPr>
          <w:sz w:val="18"/>
          <w:szCs w:val="18"/>
        </w:rPr>
      </w:pPr>
      <w:proofErr w:type="gramStart"/>
      <w:r w:rsidRPr="00BB31FF">
        <w:rPr>
          <w:sz w:val="18"/>
          <w:szCs w:val="18"/>
        </w:rPr>
        <w:t>Gender;</w:t>
      </w:r>
      <w:proofErr w:type="gramEnd"/>
    </w:p>
    <w:p w14:paraId="501F2047" w14:textId="77777777" w:rsidR="005A25A2" w:rsidRPr="00BB31FF" w:rsidRDefault="005A25A2" w:rsidP="005A25A2">
      <w:pPr>
        <w:pStyle w:val="ListParagraph"/>
        <w:numPr>
          <w:ilvl w:val="0"/>
          <w:numId w:val="8"/>
        </w:numPr>
        <w:autoSpaceDE w:val="0"/>
        <w:autoSpaceDN w:val="0"/>
        <w:spacing w:after="0" w:line="200" w:lineRule="exact"/>
        <w:rPr>
          <w:sz w:val="18"/>
          <w:szCs w:val="18"/>
          <w:lang w:eastAsia="ko-KR"/>
        </w:rPr>
      </w:pPr>
      <w:r w:rsidRPr="00BB31FF">
        <w:rPr>
          <w:rFonts w:eastAsia="Arial Unicode MS" w:cs="Tahoma"/>
          <w:kern w:val="22"/>
          <w:sz w:val="18"/>
          <w:szCs w:val="18"/>
        </w:rPr>
        <w:t xml:space="preserve">Transmission </w:t>
      </w:r>
      <w:proofErr w:type="gramStart"/>
      <w:r w:rsidRPr="00BB31FF">
        <w:rPr>
          <w:rFonts w:eastAsia="Arial Unicode MS" w:cs="Tahoma"/>
          <w:kern w:val="22"/>
          <w:sz w:val="18"/>
          <w:szCs w:val="18"/>
        </w:rPr>
        <w:t>category;</w:t>
      </w:r>
      <w:proofErr w:type="gramEnd"/>
    </w:p>
    <w:p w14:paraId="55261610" w14:textId="77777777" w:rsidR="005A25A2" w:rsidRPr="00BB31FF" w:rsidRDefault="005A25A2" w:rsidP="005A25A2">
      <w:pPr>
        <w:pStyle w:val="ListParagraph"/>
        <w:numPr>
          <w:ilvl w:val="0"/>
          <w:numId w:val="8"/>
        </w:numPr>
        <w:autoSpaceDE w:val="0"/>
        <w:autoSpaceDN w:val="0"/>
        <w:spacing w:after="0" w:line="200" w:lineRule="exact"/>
        <w:rPr>
          <w:sz w:val="18"/>
          <w:szCs w:val="18"/>
          <w:lang w:eastAsia="ko-KR"/>
        </w:rPr>
      </w:pPr>
      <w:r w:rsidRPr="00BB31FF">
        <w:rPr>
          <w:rFonts w:eastAsia="Arial Unicode MS" w:cs="Tahoma"/>
          <w:kern w:val="22"/>
          <w:sz w:val="18"/>
          <w:szCs w:val="18"/>
        </w:rPr>
        <w:t xml:space="preserve">Site of </w:t>
      </w:r>
      <w:proofErr w:type="gramStart"/>
      <w:r w:rsidRPr="00BB31FF">
        <w:rPr>
          <w:rFonts w:eastAsia="Arial Unicode MS" w:cs="Tahoma"/>
          <w:kern w:val="22"/>
          <w:sz w:val="18"/>
          <w:szCs w:val="18"/>
        </w:rPr>
        <w:t>infection;</w:t>
      </w:r>
      <w:proofErr w:type="gramEnd"/>
    </w:p>
    <w:p w14:paraId="31294E96" w14:textId="77777777" w:rsidR="005A25A2" w:rsidRPr="00BB31FF" w:rsidRDefault="005A25A2" w:rsidP="005A25A2">
      <w:pPr>
        <w:pStyle w:val="ListParagraph"/>
        <w:numPr>
          <w:ilvl w:val="0"/>
          <w:numId w:val="8"/>
        </w:numPr>
        <w:autoSpaceDE w:val="0"/>
        <w:autoSpaceDN w:val="0"/>
        <w:spacing w:after="0" w:line="200" w:lineRule="exact"/>
        <w:rPr>
          <w:sz w:val="18"/>
          <w:szCs w:val="18"/>
          <w:lang w:eastAsia="ko-KR"/>
        </w:rPr>
      </w:pPr>
      <w:r w:rsidRPr="00BB31FF">
        <w:rPr>
          <w:rFonts w:eastAsia="Arial Unicode MS" w:cs="Tahoma"/>
          <w:kern w:val="22"/>
          <w:sz w:val="18"/>
          <w:szCs w:val="18"/>
        </w:rPr>
        <w:t xml:space="preserve">Stage of </w:t>
      </w:r>
      <w:proofErr w:type="gramStart"/>
      <w:r w:rsidRPr="00BB31FF">
        <w:rPr>
          <w:rFonts w:eastAsia="Arial Unicode MS" w:cs="Tahoma"/>
          <w:kern w:val="22"/>
          <w:sz w:val="18"/>
          <w:szCs w:val="18"/>
        </w:rPr>
        <w:t>infection;</w:t>
      </w:r>
      <w:proofErr w:type="gramEnd"/>
    </w:p>
    <w:p w14:paraId="18B8A41D" w14:textId="77777777" w:rsidR="005A25A2" w:rsidRPr="00BB31FF" w:rsidRDefault="005A25A2" w:rsidP="005A25A2">
      <w:pPr>
        <w:pStyle w:val="ListParagraph"/>
        <w:numPr>
          <w:ilvl w:val="0"/>
          <w:numId w:val="8"/>
        </w:numPr>
        <w:autoSpaceDE w:val="0"/>
        <w:autoSpaceDN w:val="0"/>
        <w:spacing w:after="0" w:line="200" w:lineRule="exact"/>
        <w:rPr>
          <w:sz w:val="18"/>
          <w:szCs w:val="18"/>
          <w:lang w:eastAsia="ko-KR"/>
        </w:rPr>
      </w:pPr>
      <w:r w:rsidRPr="00BB31FF">
        <w:rPr>
          <w:rFonts w:eastAsia="Arial Unicode MS" w:cs="Tahoma"/>
          <w:kern w:val="22"/>
          <w:sz w:val="18"/>
          <w:szCs w:val="18"/>
        </w:rPr>
        <w:t>HIV status.</w:t>
      </w:r>
    </w:p>
    <w:p w14:paraId="7E7CBB48" w14:textId="77777777" w:rsidR="005A25A2" w:rsidRPr="00BB31FF" w:rsidRDefault="005A25A2" w:rsidP="005A25A2">
      <w:pPr>
        <w:pStyle w:val="EC-Para"/>
        <w:spacing w:after="0"/>
        <w:rPr>
          <w:rFonts w:cs="Tahoma"/>
        </w:rPr>
      </w:pPr>
    </w:p>
    <w:p w14:paraId="1229B5B1" w14:textId="77777777" w:rsidR="005A25A2" w:rsidRDefault="005A25A2" w:rsidP="005A25A2">
      <w:pPr>
        <w:pStyle w:val="EC-Title-6"/>
        <w:rPr>
          <w:rFonts w:eastAsia="Arial Unicode MS"/>
          <w:b w:val="0"/>
          <w:bCs w:val="0"/>
          <w:color w:val="auto"/>
          <w:kern w:val="22"/>
          <w:sz w:val="18"/>
          <w:szCs w:val="18"/>
        </w:rPr>
      </w:pPr>
      <w:bookmarkStart w:id="40" w:name="_Toc175577687"/>
      <w:r>
        <w:rPr>
          <w:rFonts w:eastAsia="Arial Unicode MS"/>
          <w:b w:val="0"/>
          <w:bCs w:val="0"/>
          <w:color w:val="auto"/>
          <w:kern w:val="22"/>
          <w:sz w:val="18"/>
          <w:szCs w:val="18"/>
        </w:rPr>
        <w:t>Symbols used in the Surveillance Atlas table:</w:t>
      </w:r>
      <w:bookmarkEnd w:id="40"/>
      <w:r>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5A25A2" w14:paraId="1B93343F" w14:textId="77777777" w:rsidTr="005A25A2">
        <w:tc>
          <w:tcPr>
            <w:tcW w:w="1101" w:type="dxa"/>
            <w:tcBorders>
              <w:top w:val="single" w:sz="4" w:space="0" w:color="000000"/>
              <w:left w:val="single" w:sz="4" w:space="0" w:color="000000"/>
              <w:bottom w:val="single" w:sz="4" w:space="0" w:color="000000"/>
              <w:right w:val="single" w:sz="4" w:space="0" w:color="000000"/>
            </w:tcBorders>
            <w:hideMark/>
          </w:tcPr>
          <w:p w14:paraId="652BF694" w14:textId="77777777" w:rsidR="005A25A2" w:rsidRDefault="005A25A2" w:rsidP="005A25A2">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629F7D35" w14:textId="77777777" w:rsidR="005A25A2" w:rsidRDefault="005A25A2" w:rsidP="005A25A2">
            <w:pPr>
              <w:pStyle w:val="EC-Para"/>
              <w:rPr>
                <w:lang w:eastAsia="en-US"/>
              </w:rPr>
            </w:pPr>
            <w:r>
              <w:rPr>
                <w:lang w:eastAsia="en-US"/>
              </w:rPr>
              <w:t>Comment</w:t>
            </w:r>
          </w:p>
        </w:tc>
      </w:tr>
      <w:tr w:rsidR="005A25A2" w14:paraId="7720A08C" w14:textId="77777777" w:rsidTr="005A25A2">
        <w:tc>
          <w:tcPr>
            <w:tcW w:w="1101" w:type="dxa"/>
            <w:tcBorders>
              <w:top w:val="single" w:sz="4" w:space="0" w:color="000000"/>
              <w:left w:val="single" w:sz="4" w:space="0" w:color="000000"/>
              <w:bottom w:val="single" w:sz="4" w:space="0" w:color="000000"/>
              <w:right w:val="single" w:sz="4" w:space="0" w:color="000000"/>
            </w:tcBorders>
            <w:hideMark/>
          </w:tcPr>
          <w:p w14:paraId="79480E21" w14:textId="77777777" w:rsidR="005A25A2" w:rsidRDefault="005A25A2" w:rsidP="005A25A2">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5C52FF7F" w14:textId="77777777" w:rsidR="005A25A2" w:rsidRDefault="005A25A2" w:rsidP="005A25A2">
            <w:pPr>
              <w:pStyle w:val="EC-Para"/>
              <w:rPr>
                <w:lang w:eastAsia="en-US"/>
              </w:rPr>
            </w:pPr>
            <w:r>
              <w:rPr>
                <w:lang w:eastAsia="en-US"/>
              </w:rPr>
              <w:t>Indicator is not calculated for a given</w:t>
            </w:r>
            <w:r w:rsidDel="007C4B05">
              <w:rPr>
                <w:lang w:eastAsia="en-US"/>
              </w:rPr>
              <w:t xml:space="preserve"> </w:t>
            </w:r>
            <w:r>
              <w:rPr>
                <w:lang w:eastAsia="en-US"/>
              </w:rPr>
              <w:t xml:space="preserve">geographical resolution and </w:t>
            </w:r>
            <w:proofErr w:type="gramStart"/>
            <w:r>
              <w:rPr>
                <w:lang w:eastAsia="en-US"/>
              </w:rPr>
              <w:t>time period</w:t>
            </w:r>
            <w:proofErr w:type="gramEnd"/>
            <w:r>
              <w:rPr>
                <w:lang w:eastAsia="en-US"/>
              </w:rPr>
              <w:t>.</w:t>
            </w:r>
          </w:p>
        </w:tc>
      </w:tr>
      <w:tr w:rsidR="005A25A2" w14:paraId="217A2ED8" w14:textId="77777777" w:rsidTr="005A25A2">
        <w:tc>
          <w:tcPr>
            <w:tcW w:w="1101" w:type="dxa"/>
            <w:tcBorders>
              <w:top w:val="single" w:sz="4" w:space="0" w:color="000000"/>
              <w:left w:val="single" w:sz="4" w:space="0" w:color="000000"/>
              <w:bottom w:val="single" w:sz="4" w:space="0" w:color="000000"/>
              <w:right w:val="single" w:sz="4" w:space="0" w:color="000000"/>
            </w:tcBorders>
            <w:hideMark/>
          </w:tcPr>
          <w:p w14:paraId="39BC0CE7" w14:textId="77777777" w:rsidR="005A25A2" w:rsidRDefault="005A25A2" w:rsidP="005A25A2">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E47BF13" w14:textId="77777777" w:rsidR="005A25A2" w:rsidRDefault="005A25A2" w:rsidP="005A25A2">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 </w:t>
            </w:r>
            <w:proofErr w:type="gramStart"/>
            <w:r>
              <w:rPr>
                <w:lang w:eastAsia="en-US"/>
              </w:rPr>
              <w:t>time period</w:t>
            </w:r>
            <w:proofErr w:type="gramEnd"/>
            <w:r>
              <w:rPr>
                <w:lang w:eastAsia="en-US"/>
              </w:rPr>
              <w:t>.</w:t>
            </w:r>
          </w:p>
        </w:tc>
      </w:tr>
    </w:tbl>
    <w:p w14:paraId="6763E085" w14:textId="77777777" w:rsidR="005A25A2" w:rsidRDefault="005A25A2" w:rsidP="005A25A2">
      <w:pPr>
        <w:pStyle w:val="EC-Para"/>
        <w:rPr>
          <w:lang w:eastAsia="en-US"/>
        </w:rPr>
      </w:pPr>
    </w:p>
    <w:p w14:paraId="7DA9362A" w14:textId="77777777" w:rsidR="005A25A2" w:rsidRPr="0072746F" w:rsidRDefault="005A25A2" w:rsidP="005A25A2">
      <w:pPr>
        <w:pStyle w:val="EC-Title-6"/>
        <w:rPr>
          <w:rFonts w:cs="Tahoma"/>
          <w:b w:val="0"/>
        </w:rPr>
      </w:pPr>
      <w:bookmarkStart w:id="41" w:name="_Toc175577688"/>
      <w:r w:rsidRPr="0072746F">
        <w:rPr>
          <w:rFonts w:cs="Tahoma"/>
          <w:b w:val="0"/>
        </w:rPr>
        <w:t>Data quality</w:t>
      </w:r>
      <w:bookmarkEnd w:id="41"/>
    </w:p>
    <w:p w14:paraId="5F8FE004" w14:textId="626F97F4" w:rsidR="005A25A2" w:rsidRDefault="005A25A2" w:rsidP="005A25A2">
      <w:pPr>
        <w:shd w:val="clear" w:color="auto" w:fill="FFFFFF"/>
        <w:jc w:val="both"/>
        <w:rPr>
          <w:rFonts w:eastAsia="Times New Roman" w:cs="Tahoma"/>
          <w:sz w:val="18"/>
          <w:szCs w:val="18"/>
          <w:lang w:eastAsia="en-GB"/>
        </w:rPr>
      </w:pPr>
      <w:r w:rsidRPr="003428DA">
        <w:rPr>
          <w:rFonts w:eastAsia="Times New Roman" w:cs="Tahoma"/>
          <w:sz w:val="18"/>
          <w:szCs w:val="18"/>
          <w:lang w:eastAsia="en-GB"/>
        </w:rPr>
        <w:t xml:space="preserve">The Surveillance Atlas indicators were calculated up to the end of </w:t>
      </w:r>
      <w:r w:rsidR="000D37D6">
        <w:rPr>
          <w:rFonts w:eastAsia="Times New Roman" w:cs="Tahoma"/>
          <w:sz w:val="18"/>
          <w:szCs w:val="18"/>
          <w:lang w:eastAsia="en-GB"/>
        </w:rPr>
        <w:t>2023</w:t>
      </w:r>
      <w:r w:rsidRPr="003428DA">
        <w:rPr>
          <w:rFonts w:eastAsia="Times New Roman" w:cs="Tahoma"/>
          <w:sz w:val="18"/>
          <w:szCs w:val="18"/>
          <w:lang w:eastAsia="en-GB"/>
        </w:rPr>
        <w:t xml:space="preserve">.  EU/EEA countries reporting data on syphilis are displayed in </w:t>
      </w:r>
      <w:r>
        <w:rPr>
          <w:rFonts w:eastAsia="Times New Roman" w:cs="Tahoma"/>
          <w:sz w:val="18"/>
          <w:szCs w:val="18"/>
          <w:lang w:eastAsia="en-GB"/>
        </w:rPr>
        <w:t>the table below</w:t>
      </w:r>
      <w:r w:rsidRPr="003428DA">
        <w:rPr>
          <w:rFonts w:eastAsia="Times New Roman" w:cs="Tahoma"/>
          <w:sz w:val="18"/>
          <w:szCs w:val="18"/>
          <w:lang w:eastAsia="en-GB"/>
        </w:rPr>
        <w:t>. For data quality, reporting completeness of variables used to calculate Surveillance Atlas indicators was analysed for reported, confirmed cases.  For countries reporting data only in aggregated format, the analysis of data completeness is allowed only for data reported such as age and gender.</w:t>
      </w:r>
    </w:p>
    <w:p w14:paraId="3172CB23" w14:textId="77777777" w:rsidR="005A25A2" w:rsidRDefault="005A25A2" w:rsidP="005A25A2">
      <w:pPr>
        <w:shd w:val="clear" w:color="auto" w:fill="FFFFFF"/>
        <w:jc w:val="both"/>
        <w:rPr>
          <w:rFonts w:eastAsia="Times New Roman" w:cs="Tahoma"/>
          <w:sz w:val="18"/>
          <w:szCs w:val="18"/>
          <w:lang w:eastAsia="en-GB"/>
        </w:rPr>
      </w:pPr>
    </w:p>
    <w:p w14:paraId="1BE7CD97" w14:textId="77777777" w:rsidR="005A25A2" w:rsidRDefault="005A25A2" w:rsidP="005A25A2">
      <w:pPr>
        <w:shd w:val="clear" w:color="auto" w:fill="FFFFFF"/>
        <w:jc w:val="both"/>
        <w:rPr>
          <w:rFonts w:eastAsia="Times New Roman" w:cs="Tahoma"/>
          <w:sz w:val="18"/>
          <w:szCs w:val="18"/>
          <w:lang w:eastAsia="en-GB"/>
        </w:rPr>
      </w:pPr>
    </w:p>
    <w:p w14:paraId="26C6E576" w14:textId="77777777" w:rsidR="005A25A2" w:rsidRPr="003428DA" w:rsidRDefault="005A25A2" w:rsidP="005A25A2">
      <w:pPr>
        <w:shd w:val="clear" w:color="auto" w:fill="FFFFFF"/>
        <w:jc w:val="both"/>
        <w:rPr>
          <w:rFonts w:eastAsia="Times New Roman" w:cs="Tahoma"/>
          <w:szCs w:val="14"/>
          <w:lang w:eastAsia="en-GB"/>
        </w:rPr>
      </w:pPr>
    </w:p>
    <w:p w14:paraId="2D91F5E9" w14:textId="77777777" w:rsidR="005A25A2" w:rsidRPr="00524967" w:rsidRDefault="005A25A2" w:rsidP="005A25A2">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xml:space="preserve"> The Surveillance Atlas indicators for data quality of confirmed </w:t>
      </w:r>
      <w:r>
        <w:rPr>
          <w:rFonts w:eastAsia="Times New Roman" w:cs="Tahoma"/>
          <w:color w:val="333333"/>
          <w:sz w:val="18"/>
          <w:szCs w:val="18"/>
          <w:lang w:eastAsia="en-GB"/>
        </w:rPr>
        <w:t>syphilis</w:t>
      </w:r>
      <w:r w:rsidRPr="00524967">
        <w:rPr>
          <w:rFonts w:eastAsia="Times New Roman" w:cs="Tahoma"/>
          <w:color w:val="333333"/>
          <w:sz w:val="18"/>
          <w:szCs w:val="18"/>
          <w:lang w:eastAsia="en-GB"/>
        </w:rPr>
        <w:t xml:space="preserve"> cases are:</w:t>
      </w:r>
    </w:p>
    <w:p w14:paraId="5393BA2B" w14:textId="77777777" w:rsidR="005A25A2" w:rsidRPr="004660C8" w:rsidRDefault="005A25A2" w:rsidP="005A25A2">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age (%</w:t>
      </w:r>
      <w:proofErr w:type="gramStart"/>
      <w:r w:rsidRPr="004660C8">
        <w:rPr>
          <w:rFonts w:cs="Tahoma"/>
          <w:sz w:val="18"/>
          <w:szCs w:val="18"/>
          <w:lang w:eastAsia="en-GB"/>
        </w:rPr>
        <w:t>);</w:t>
      </w:r>
      <w:proofErr w:type="gramEnd"/>
    </w:p>
    <w:p w14:paraId="6559EB3F" w14:textId="77777777" w:rsidR="005A25A2" w:rsidRPr="004660C8" w:rsidRDefault="005A25A2" w:rsidP="005A25A2">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gender (%</w:t>
      </w:r>
      <w:proofErr w:type="gramStart"/>
      <w:r w:rsidRPr="004660C8">
        <w:rPr>
          <w:rFonts w:cs="Tahoma"/>
          <w:sz w:val="18"/>
          <w:szCs w:val="18"/>
          <w:lang w:eastAsia="en-GB"/>
        </w:rPr>
        <w:t>);</w:t>
      </w:r>
      <w:proofErr w:type="gramEnd"/>
    </w:p>
    <w:p w14:paraId="45A2B1BE" w14:textId="77777777" w:rsidR="005A25A2" w:rsidRPr="004660C8" w:rsidRDefault="005A25A2" w:rsidP="005A25A2">
      <w:pPr>
        <w:pStyle w:val="ListParagraph"/>
        <w:numPr>
          <w:ilvl w:val="0"/>
          <w:numId w:val="8"/>
        </w:numPr>
        <w:shd w:val="clear" w:color="auto" w:fill="FFFFFF"/>
        <w:spacing w:line="264" w:lineRule="atLeast"/>
        <w:jc w:val="both"/>
        <w:rPr>
          <w:rFonts w:cs="Tahoma"/>
          <w:lang w:eastAsia="en-GB"/>
        </w:rPr>
      </w:pPr>
      <w:r w:rsidRPr="008C5377">
        <w:rPr>
          <w:rFonts w:cs="Tahoma"/>
          <w:sz w:val="18"/>
          <w:szCs w:val="18"/>
          <w:lang w:eastAsia="en-GB"/>
        </w:rPr>
        <w:t xml:space="preserve">Completeness </w:t>
      </w:r>
      <w:r>
        <w:rPr>
          <w:rFonts w:cs="Tahoma"/>
          <w:sz w:val="18"/>
          <w:szCs w:val="18"/>
          <w:lang w:eastAsia="en-GB"/>
        </w:rPr>
        <w:t>transmission (%</w:t>
      </w:r>
      <w:proofErr w:type="gramStart"/>
      <w:r>
        <w:rPr>
          <w:rFonts w:cs="Tahoma"/>
          <w:sz w:val="18"/>
          <w:szCs w:val="18"/>
          <w:lang w:eastAsia="en-GB"/>
        </w:rPr>
        <w:t>);</w:t>
      </w:r>
      <w:proofErr w:type="gramEnd"/>
    </w:p>
    <w:p w14:paraId="0D89A868" w14:textId="77777777" w:rsidR="005A25A2" w:rsidRPr="004660C8" w:rsidRDefault="005A25A2" w:rsidP="005A25A2">
      <w:pPr>
        <w:pStyle w:val="ListParagraph"/>
        <w:numPr>
          <w:ilvl w:val="0"/>
          <w:numId w:val="8"/>
        </w:numPr>
        <w:shd w:val="clear" w:color="auto" w:fill="FFFFFF"/>
        <w:spacing w:line="264" w:lineRule="atLeast"/>
        <w:jc w:val="both"/>
        <w:rPr>
          <w:rFonts w:cs="Tahoma"/>
          <w:lang w:eastAsia="en-GB"/>
        </w:rPr>
      </w:pPr>
      <w:r>
        <w:rPr>
          <w:rFonts w:cs="Tahoma"/>
          <w:sz w:val="18"/>
          <w:szCs w:val="18"/>
          <w:lang w:eastAsia="en-GB"/>
        </w:rPr>
        <w:t>Completeness site of infection (%</w:t>
      </w:r>
      <w:proofErr w:type="gramStart"/>
      <w:r>
        <w:rPr>
          <w:rFonts w:cs="Tahoma"/>
          <w:sz w:val="18"/>
          <w:szCs w:val="18"/>
          <w:lang w:eastAsia="en-GB"/>
        </w:rPr>
        <w:t>);</w:t>
      </w:r>
      <w:proofErr w:type="gramEnd"/>
    </w:p>
    <w:p w14:paraId="750E6436" w14:textId="77777777" w:rsidR="005A25A2" w:rsidRPr="00182127" w:rsidRDefault="005A25A2" w:rsidP="005A25A2">
      <w:pPr>
        <w:pStyle w:val="ListParagraph"/>
        <w:numPr>
          <w:ilvl w:val="0"/>
          <w:numId w:val="8"/>
        </w:numPr>
        <w:shd w:val="clear" w:color="auto" w:fill="FFFFFF"/>
        <w:spacing w:line="264" w:lineRule="atLeast"/>
        <w:jc w:val="both"/>
        <w:rPr>
          <w:rFonts w:cs="Tahoma"/>
          <w:lang w:eastAsia="en-GB"/>
        </w:rPr>
      </w:pPr>
      <w:r>
        <w:rPr>
          <w:rFonts w:cs="Tahoma"/>
          <w:sz w:val="18"/>
          <w:szCs w:val="18"/>
          <w:lang w:eastAsia="en-GB"/>
        </w:rPr>
        <w:t>Completeness HIV status (%</w:t>
      </w:r>
      <w:proofErr w:type="gramStart"/>
      <w:r>
        <w:rPr>
          <w:rFonts w:cs="Tahoma"/>
          <w:sz w:val="18"/>
          <w:szCs w:val="18"/>
          <w:lang w:eastAsia="en-GB"/>
        </w:rPr>
        <w:t>);</w:t>
      </w:r>
      <w:proofErr w:type="gramEnd"/>
    </w:p>
    <w:p w14:paraId="442761EE" w14:textId="77777777" w:rsidR="005A25A2" w:rsidRPr="00182127" w:rsidRDefault="005A25A2" w:rsidP="005A25A2">
      <w:pPr>
        <w:pStyle w:val="ListParagraph"/>
        <w:numPr>
          <w:ilvl w:val="0"/>
          <w:numId w:val="8"/>
        </w:numPr>
        <w:shd w:val="clear" w:color="auto" w:fill="FFFFFF"/>
        <w:spacing w:line="264" w:lineRule="atLeast"/>
        <w:jc w:val="both"/>
        <w:rPr>
          <w:rFonts w:cs="Tahoma"/>
          <w:lang w:eastAsia="en-GB"/>
        </w:rPr>
      </w:pPr>
      <w:r>
        <w:rPr>
          <w:rFonts w:cs="Tahoma"/>
          <w:sz w:val="18"/>
          <w:szCs w:val="18"/>
          <w:lang w:eastAsia="en-GB"/>
        </w:rPr>
        <w:t>Completeness stage of infection (%).</w:t>
      </w:r>
    </w:p>
    <w:p w14:paraId="60BA89A7" w14:textId="77777777" w:rsidR="005A25A2" w:rsidRDefault="005A25A2" w:rsidP="005A25A2">
      <w:pPr>
        <w:pStyle w:val="EC-Title-6"/>
      </w:pPr>
    </w:p>
    <w:p w14:paraId="35E4BA1C" w14:textId="77777777" w:rsidR="005A25A2" w:rsidRPr="003845A2" w:rsidRDefault="005A25A2" w:rsidP="005A25A2">
      <w:pPr>
        <w:pStyle w:val="EC-Title-6"/>
      </w:pPr>
      <w:bookmarkStart w:id="42" w:name="_Toc175577689"/>
      <w:r w:rsidRPr="00BB31FF">
        <w:t>Interpretation</w:t>
      </w:r>
      <w:bookmarkEnd w:id="42"/>
      <w:r w:rsidRPr="00BB31FF">
        <w:t xml:space="preserve"> </w:t>
      </w:r>
    </w:p>
    <w:p w14:paraId="22C48510" w14:textId="77777777" w:rsidR="005A25A2" w:rsidRDefault="005A25A2" w:rsidP="005A25A2">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 xml:space="preserve">The results shown in the Atlas </w:t>
      </w:r>
      <w:r w:rsidRPr="006B2F19">
        <w:rPr>
          <w:rFonts w:eastAsia="Arial Unicode MS" w:cs="Tahoma"/>
          <w:kern w:val="22"/>
          <w:sz w:val="18"/>
          <w:szCs w:val="18"/>
        </w:rPr>
        <w:t xml:space="preserve">should be interpreted with caution and </w:t>
      </w:r>
      <w:proofErr w:type="gramStart"/>
      <w:r w:rsidRPr="006B2F19">
        <w:rPr>
          <w:rFonts w:eastAsia="Arial Unicode MS" w:cs="Tahoma"/>
          <w:kern w:val="22"/>
          <w:sz w:val="18"/>
          <w:szCs w:val="18"/>
        </w:rPr>
        <w:t>taking into account</w:t>
      </w:r>
      <w:proofErr w:type="gramEnd"/>
      <w:r w:rsidRPr="006B2F19">
        <w:rPr>
          <w:rFonts w:eastAsia="Arial Unicode MS" w:cs="Tahoma"/>
          <w:kern w:val="22"/>
          <w:sz w:val="18"/>
          <w:szCs w:val="18"/>
        </w:rPr>
        <w:t xml:space="preserve"> data quality issues and differences </w:t>
      </w:r>
      <w:r>
        <w:rPr>
          <w:rFonts w:eastAsia="Arial Unicode MS" w:cs="Tahoma"/>
          <w:kern w:val="22"/>
          <w:sz w:val="18"/>
          <w:szCs w:val="18"/>
        </w:rPr>
        <w:t>between</w:t>
      </w:r>
      <w:r w:rsidRPr="006B2F19">
        <w:rPr>
          <w:rFonts w:eastAsia="Arial Unicode MS" w:cs="Tahoma"/>
          <w:kern w:val="22"/>
          <w:sz w:val="18"/>
          <w:szCs w:val="18"/>
        </w:rPr>
        <w:t xml:space="preserve"> Member State surveillance systems. </w:t>
      </w:r>
      <w:proofErr w:type="gramStart"/>
      <w:r>
        <w:rPr>
          <w:rFonts w:eastAsia="Arial Unicode MS" w:cs="Tahoma"/>
          <w:kern w:val="22"/>
          <w:sz w:val="18"/>
          <w:szCs w:val="18"/>
        </w:rPr>
        <w:t>P</w:t>
      </w:r>
      <w:r w:rsidRPr="006B2F19">
        <w:rPr>
          <w:rFonts w:eastAsia="Arial Unicode MS" w:cs="Tahoma"/>
          <w:kern w:val="22"/>
          <w:sz w:val="18"/>
          <w:szCs w:val="18"/>
        </w:rPr>
        <w:t>articular caution</w:t>
      </w:r>
      <w:proofErr w:type="gramEnd"/>
      <w:r w:rsidRPr="006B2F19">
        <w:rPr>
          <w:rFonts w:eastAsia="Arial Unicode MS" w:cs="Tahoma"/>
          <w:kern w:val="22"/>
          <w:sz w:val="18"/>
          <w:szCs w:val="18"/>
        </w:rPr>
        <w:t xml:space="preserve"> is required </w:t>
      </w:r>
      <w:r>
        <w:rPr>
          <w:rFonts w:eastAsia="Arial Unicode MS" w:cs="Tahoma"/>
          <w:kern w:val="22"/>
          <w:sz w:val="18"/>
          <w:szCs w:val="18"/>
        </w:rPr>
        <w:t xml:space="preserve">when completeness is rather low or varies between countries. In addition, under-ascertainment and </w:t>
      </w:r>
      <w:r w:rsidRPr="006B2F19">
        <w:rPr>
          <w:rFonts w:eastAsia="Arial Unicode MS" w:cs="Tahoma"/>
          <w:kern w:val="22"/>
          <w:sz w:val="18"/>
          <w:szCs w:val="18"/>
        </w:rPr>
        <w:t xml:space="preserve">under-reporting </w:t>
      </w:r>
      <w:r>
        <w:rPr>
          <w:rFonts w:eastAsia="Arial Unicode MS" w:cs="Tahoma"/>
          <w:kern w:val="22"/>
          <w:sz w:val="18"/>
          <w:szCs w:val="18"/>
        </w:rPr>
        <w:t>may</w:t>
      </w:r>
      <w:r w:rsidRPr="006B2F19">
        <w:rPr>
          <w:rFonts w:eastAsia="Arial Unicode MS" w:cs="Tahoma"/>
          <w:kern w:val="22"/>
          <w:sz w:val="18"/>
          <w:szCs w:val="18"/>
        </w:rPr>
        <w:t xml:space="preserve"> differ between countries depending on the characteristics of their surveillance systems. </w:t>
      </w:r>
      <w:r w:rsidRPr="00DE08FD">
        <w:rPr>
          <w:rFonts w:eastAsia="Arial Unicode MS" w:cs="Tahoma"/>
          <w:kern w:val="22"/>
          <w:sz w:val="18"/>
          <w:szCs w:val="18"/>
        </w:rPr>
        <w:t xml:space="preserve">Hence, any direct comparisons between countries without taking into account these limitations in the data </w:t>
      </w:r>
      <w:proofErr w:type="gramStart"/>
      <w:r w:rsidRPr="00DE08FD">
        <w:rPr>
          <w:rFonts w:eastAsia="Arial Unicode MS" w:cs="Tahoma"/>
          <w:kern w:val="22"/>
          <w:sz w:val="18"/>
          <w:szCs w:val="18"/>
        </w:rPr>
        <w:t>is</w:t>
      </w:r>
      <w:proofErr w:type="gramEnd"/>
      <w:r w:rsidRPr="00DE08FD">
        <w:rPr>
          <w:rFonts w:eastAsia="Arial Unicode MS" w:cs="Tahoma"/>
          <w:kern w:val="22"/>
          <w:sz w:val="18"/>
          <w:szCs w:val="18"/>
        </w:rPr>
        <w:t xml:space="preserve"> not advisable.</w:t>
      </w:r>
    </w:p>
    <w:p w14:paraId="683175D3" w14:textId="77777777" w:rsidR="005A25A2" w:rsidRDefault="005A25A2" w:rsidP="005A25A2">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Since</w:t>
      </w:r>
      <w:r w:rsidRPr="00FC627F">
        <w:rPr>
          <w:rFonts w:eastAsia="Arial Unicode MS" w:cs="Tahoma"/>
          <w:kern w:val="22"/>
          <w:sz w:val="18"/>
          <w:szCs w:val="18"/>
        </w:rPr>
        <w:t xml:space="preserve"> 2020 no data were reported by the United Kingdom (UK) due to its withdrawal from the EU on 1 February 2020. As the UK contributed a large proportion of reported cases in previous years, this led to a large, art</w:t>
      </w:r>
      <w:r>
        <w:rPr>
          <w:rFonts w:eastAsia="Arial Unicode MS" w:cs="Tahoma"/>
          <w:kern w:val="22"/>
          <w:sz w:val="18"/>
          <w:szCs w:val="18"/>
        </w:rPr>
        <w:t>efactual</w:t>
      </w:r>
      <w:r w:rsidRPr="00FC627F">
        <w:rPr>
          <w:rFonts w:eastAsia="Arial Unicode MS" w:cs="Tahoma"/>
          <w:kern w:val="22"/>
          <w:sz w:val="18"/>
          <w:szCs w:val="18"/>
        </w:rPr>
        <w:t xml:space="preserve"> decrease in the number of cases and rates at EU/EEA-level </w:t>
      </w:r>
      <w:r>
        <w:rPr>
          <w:rFonts w:eastAsia="Arial Unicode MS" w:cs="Tahoma"/>
          <w:kern w:val="22"/>
          <w:sz w:val="18"/>
          <w:szCs w:val="18"/>
        </w:rPr>
        <w:t>since</w:t>
      </w:r>
      <w:r w:rsidRPr="00FC627F">
        <w:rPr>
          <w:rFonts w:eastAsia="Arial Unicode MS" w:cs="Tahoma"/>
          <w:kern w:val="22"/>
          <w:sz w:val="18"/>
          <w:szCs w:val="18"/>
        </w:rPr>
        <w:t xml:space="preserve"> 2020</w:t>
      </w:r>
      <w:r>
        <w:rPr>
          <w:rFonts w:eastAsia="Arial Unicode MS" w:cs="Tahoma"/>
          <w:kern w:val="22"/>
          <w:sz w:val="18"/>
          <w:szCs w:val="18"/>
        </w:rPr>
        <w:t xml:space="preserve"> compared to the years before</w:t>
      </w:r>
      <w:r w:rsidRPr="00FC627F">
        <w:rPr>
          <w:rFonts w:eastAsia="Arial Unicode MS" w:cs="Tahoma"/>
          <w:kern w:val="22"/>
          <w:sz w:val="18"/>
          <w:szCs w:val="18"/>
        </w:rPr>
        <w:t>.</w:t>
      </w:r>
    </w:p>
    <w:p w14:paraId="4C8216A3" w14:textId="47DFA424" w:rsidR="005A25A2" w:rsidRDefault="005A25A2" w:rsidP="005A25A2">
      <w:pPr>
        <w:kinsoku w:val="0"/>
        <w:autoSpaceDE w:val="0"/>
        <w:autoSpaceDN w:val="0"/>
        <w:adjustRightInd w:val="0"/>
        <w:spacing w:after="120" w:line="200" w:lineRule="atLeast"/>
        <w:jc w:val="both"/>
        <w:rPr>
          <w:rFonts w:eastAsia="Arial Unicode MS" w:cs="Tahoma"/>
          <w:kern w:val="22"/>
          <w:sz w:val="18"/>
          <w:szCs w:val="18"/>
        </w:rPr>
      </w:pPr>
      <w:r w:rsidRPr="003737FE">
        <w:rPr>
          <w:rFonts w:eastAsia="Arial Unicode MS" w:cs="Tahoma"/>
          <w:kern w:val="22"/>
          <w:sz w:val="18"/>
          <w:szCs w:val="18"/>
        </w:rPr>
        <w:t xml:space="preserve">In </w:t>
      </w:r>
      <w:r>
        <w:rPr>
          <w:rFonts w:eastAsia="Arial Unicode MS" w:cs="Tahoma"/>
          <w:kern w:val="22"/>
          <w:sz w:val="18"/>
          <w:szCs w:val="18"/>
        </w:rPr>
        <w:t>France</w:t>
      </w:r>
      <w:r w:rsidRPr="003737FE">
        <w:rPr>
          <w:rFonts w:eastAsia="Arial Unicode MS" w:cs="Tahoma"/>
          <w:kern w:val="22"/>
          <w:sz w:val="18"/>
          <w:szCs w:val="18"/>
        </w:rPr>
        <w:t xml:space="preserve"> the surveillance system used to report </w:t>
      </w:r>
      <w:r>
        <w:rPr>
          <w:rFonts w:eastAsia="Arial Unicode MS" w:cs="Tahoma"/>
          <w:kern w:val="22"/>
          <w:sz w:val="18"/>
          <w:szCs w:val="18"/>
        </w:rPr>
        <w:t>syphilis</w:t>
      </w:r>
      <w:r w:rsidRPr="003737FE">
        <w:rPr>
          <w:rFonts w:eastAsia="Arial Unicode MS" w:cs="Tahoma"/>
          <w:kern w:val="22"/>
          <w:sz w:val="18"/>
          <w:szCs w:val="18"/>
        </w:rPr>
        <w:t xml:space="preserve"> changed in 2020 and thus data fr</w:t>
      </w:r>
      <w:r w:rsidR="00F23A11">
        <w:rPr>
          <w:rFonts w:eastAsia="Arial Unicode MS" w:cs="Tahoma"/>
          <w:kern w:val="22"/>
          <w:sz w:val="18"/>
          <w:szCs w:val="18"/>
        </w:rPr>
        <w:t>om</w:t>
      </w:r>
      <w:r w:rsidRPr="003737FE">
        <w:rPr>
          <w:rFonts w:eastAsia="Arial Unicode MS" w:cs="Tahoma"/>
          <w:kern w:val="22"/>
          <w:sz w:val="18"/>
          <w:szCs w:val="18"/>
        </w:rPr>
        <w:t xml:space="preserve"> 2020 </w:t>
      </w:r>
      <w:r w:rsidR="00F23A11">
        <w:rPr>
          <w:rFonts w:eastAsia="Arial Unicode MS" w:cs="Tahoma"/>
          <w:kern w:val="22"/>
          <w:sz w:val="18"/>
          <w:szCs w:val="18"/>
        </w:rPr>
        <w:t xml:space="preserve">onwards </w:t>
      </w:r>
      <w:r w:rsidRPr="003737FE">
        <w:rPr>
          <w:rFonts w:eastAsia="Arial Unicode MS" w:cs="Tahoma"/>
          <w:kern w:val="22"/>
          <w:sz w:val="18"/>
          <w:szCs w:val="18"/>
        </w:rPr>
        <w:t>should not be compared with data from previous years.</w:t>
      </w:r>
    </w:p>
    <w:p w14:paraId="35AB5623" w14:textId="77777777" w:rsidR="005A25A2" w:rsidRDefault="005A25A2" w:rsidP="005A25A2">
      <w:pPr>
        <w:kinsoku w:val="0"/>
        <w:autoSpaceDE w:val="0"/>
        <w:autoSpaceDN w:val="0"/>
        <w:adjustRightInd w:val="0"/>
        <w:spacing w:after="120" w:line="200" w:lineRule="atLeast"/>
        <w:jc w:val="both"/>
        <w:rPr>
          <w:rFonts w:eastAsia="Arial Unicode MS" w:cs="Tahoma"/>
          <w:kern w:val="22"/>
          <w:sz w:val="18"/>
          <w:szCs w:val="18"/>
        </w:rPr>
      </w:pPr>
      <w:r w:rsidRPr="00123A53">
        <w:rPr>
          <w:rFonts w:eastAsia="Arial Unicode MS" w:cs="Tahoma"/>
          <w:kern w:val="22"/>
          <w:sz w:val="18"/>
          <w:szCs w:val="18"/>
        </w:rPr>
        <w:t xml:space="preserve">In Luxembourg the surveillance system used to report </w:t>
      </w:r>
      <w:r>
        <w:rPr>
          <w:rFonts w:eastAsia="Arial Unicode MS" w:cs="Tahoma"/>
          <w:kern w:val="22"/>
          <w:sz w:val="18"/>
          <w:szCs w:val="18"/>
        </w:rPr>
        <w:t xml:space="preserve">syphilis </w:t>
      </w:r>
      <w:r w:rsidRPr="00123A53">
        <w:rPr>
          <w:rFonts w:eastAsia="Arial Unicode MS" w:cs="Tahoma"/>
          <w:kern w:val="22"/>
          <w:sz w:val="18"/>
          <w:szCs w:val="18"/>
        </w:rPr>
        <w:t>changed in 2020 and thus data for 2020 and 2021 should not be compared with data from previous years.</w:t>
      </w:r>
    </w:p>
    <w:p w14:paraId="09145E46" w14:textId="77777777" w:rsidR="005A25A2" w:rsidRPr="001D460E" w:rsidRDefault="005A25A2" w:rsidP="005A25A2">
      <w:pPr>
        <w:pStyle w:val="EC-Para"/>
        <w:rPr>
          <w:lang w:eastAsia="en-US"/>
        </w:rPr>
      </w:pPr>
    </w:p>
    <w:p w14:paraId="6D7169EF" w14:textId="77777777" w:rsidR="005A25A2" w:rsidRDefault="005A25A2" w:rsidP="005A25A2">
      <w:pPr>
        <w:pStyle w:val="EC-Title-6"/>
        <w:rPr>
          <w:rFonts w:cs="Tahoma"/>
          <w:color w:val="FF0000"/>
          <w:sz w:val="20"/>
          <w:szCs w:val="20"/>
        </w:rPr>
      </w:pPr>
      <w:bookmarkStart w:id="43" w:name="_Toc175577690"/>
      <w:r>
        <w:t>Reports published by ECDC on syphilis</w:t>
      </w:r>
      <w:bookmarkEnd w:id="43"/>
      <w:r>
        <w:t xml:space="preserve"> </w:t>
      </w:r>
    </w:p>
    <w:p w14:paraId="32F9F31B" w14:textId="77777777" w:rsidR="005A25A2" w:rsidRPr="007B34B1" w:rsidRDefault="005A25A2" w:rsidP="005A25A2">
      <w:pPr>
        <w:kinsoku w:val="0"/>
        <w:autoSpaceDE w:val="0"/>
        <w:autoSpaceDN w:val="0"/>
        <w:adjustRightInd w:val="0"/>
        <w:spacing w:after="120" w:line="200" w:lineRule="atLeast"/>
        <w:jc w:val="both"/>
        <w:rPr>
          <w:rFonts w:eastAsia="Arial Unicode MS"/>
          <w:kern w:val="22"/>
          <w:sz w:val="18"/>
          <w:szCs w:val="18"/>
        </w:rPr>
      </w:pPr>
      <w:r w:rsidRPr="007B34B1">
        <w:rPr>
          <w:rFonts w:eastAsia="Arial Unicode MS"/>
          <w:kern w:val="22"/>
          <w:sz w:val="18"/>
          <w:szCs w:val="18"/>
        </w:rPr>
        <w:t xml:space="preserve">More information is available in ECDC reports. </w:t>
      </w:r>
      <w:r>
        <w:rPr>
          <w:rFonts w:eastAsia="Arial Unicode MS"/>
          <w:kern w:val="22"/>
          <w:sz w:val="18"/>
          <w:szCs w:val="18"/>
        </w:rPr>
        <w:t>L</w:t>
      </w:r>
      <w:r w:rsidRPr="007B34B1">
        <w:rPr>
          <w:rFonts w:eastAsia="Arial Unicode MS"/>
          <w:kern w:val="22"/>
          <w:sz w:val="18"/>
          <w:szCs w:val="18"/>
        </w:rPr>
        <w:t xml:space="preserve">ater retrievals of data related to the same period may result in slightly different numbers as countries have the possibility to update data retrospectively. Therefore, the data presented in the reports might slightly differ </w:t>
      </w:r>
      <w:r>
        <w:rPr>
          <w:rFonts w:eastAsia="Arial Unicode MS"/>
          <w:kern w:val="22"/>
          <w:sz w:val="18"/>
          <w:szCs w:val="18"/>
        </w:rPr>
        <w:t>from</w:t>
      </w:r>
      <w:r w:rsidRPr="007B34B1">
        <w:rPr>
          <w:rFonts w:eastAsia="Arial Unicode MS"/>
          <w:kern w:val="22"/>
          <w:sz w:val="18"/>
          <w:szCs w:val="18"/>
        </w:rPr>
        <w:t xml:space="preserve"> th</w:t>
      </w:r>
      <w:r>
        <w:rPr>
          <w:rFonts w:eastAsia="Arial Unicode MS"/>
          <w:kern w:val="22"/>
          <w:sz w:val="18"/>
          <w:szCs w:val="18"/>
        </w:rPr>
        <w:t>ose</w:t>
      </w:r>
      <w:r w:rsidRPr="007B34B1">
        <w:rPr>
          <w:rFonts w:eastAsia="Arial Unicode MS"/>
          <w:kern w:val="22"/>
          <w:sz w:val="18"/>
          <w:szCs w:val="18"/>
        </w:rPr>
        <w:t xml:space="preserve"> presented in the Surveillance Atlas.</w:t>
      </w:r>
    </w:p>
    <w:p w14:paraId="39F02142" w14:textId="4B7A8C73" w:rsidR="005A25A2" w:rsidRDefault="005A25A2" w:rsidP="005A25A2">
      <w:pPr>
        <w:shd w:val="clear" w:color="auto" w:fill="FFFFFF"/>
        <w:rPr>
          <w:rFonts w:eastAsia="Times New Roman" w:cs="Tahoma"/>
          <w:color w:val="333333"/>
          <w:szCs w:val="14"/>
          <w:lang w:eastAsia="en-GB"/>
        </w:rPr>
      </w:pPr>
      <w:r>
        <w:rPr>
          <w:rFonts w:cs="Tahoma"/>
          <w:b/>
          <w:bCs/>
          <w:color w:val="333333"/>
          <w:sz w:val="18"/>
          <w:szCs w:val="18"/>
        </w:rPr>
        <w:t>Annual epidemiological report 2021– syphilis</w:t>
      </w:r>
    </w:p>
    <w:p w14:paraId="24DD9AC9" w14:textId="77777777" w:rsidR="005A25A2" w:rsidRPr="0082165B" w:rsidRDefault="00A07B1B" w:rsidP="005A25A2">
      <w:pPr>
        <w:pStyle w:val="EC-Para"/>
        <w:rPr>
          <w:rStyle w:val="Hyperlink"/>
        </w:rPr>
      </w:pPr>
      <w:hyperlink r:id="rId21" w:history="1">
        <w:r w:rsidR="005A25A2" w:rsidRPr="00B23564">
          <w:rPr>
            <w:rStyle w:val="Hyperlink"/>
            <w:rFonts w:cs="Times New Roman"/>
          </w:rPr>
          <w:t>https://www.ecdc.europa.eu/sites/default/files/documents/syphilis-annual-epidemiological-report-2021.pdf</w:t>
        </w:r>
      </w:hyperlink>
      <w:r w:rsidR="005A25A2">
        <w:t xml:space="preserve"> </w:t>
      </w:r>
    </w:p>
    <w:p w14:paraId="386949D4" w14:textId="77777777" w:rsidR="005A25A2" w:rsidRDefault="005A25A2" w:rsidP="005A25A2">
      <w:pPr>
        <w:rPr>
          <w:rFonts w:cs="Tahoma"/>
          <w:b/>
          <w:bCs/>
          <w:color w:val="333333"/>
          <w:sz w:val="18"/>
          <w:szCs w:val="18"/>
        </w:rPr>
      </w:pPr>
      <w:r w:rsidRPr="0082165B">
        <w:rPr>
          <w:rFonts w:cs="Tahoma"/>
          <w:b/>
          <w:bCs/>
          <w:color w:val="333333"/>
          <w:sz w:val="18"/>
          <w:szCs w:val="18"/>
        </w:rPr>
        <w:t>Syphilis and congenital syphilis in Europe - A review of epidemiological trends (2007–2018) and options for response</w:t>
      </w:r>
    </w:p>
    <w:p w14:paraId="3A422C06" w14:textId="77777777" w:rsidR="005A25A2" w:rsidRDefault="00A07B1B" w:rsidP="005A25A2">
      <w:hyperlink r:id="rId22" w:history="1">
        <w:r w:rsidR="005A25A2" w:rsidRPr="00D66740">
          <w:rPr>
            <w:rStyle w:val="Hyperlink"/>
            <w:rFonts w:eastAsia="Arial Unicode MS"/>
            <w:kern w:val="22"/>
            <w:szCs w:val="18"/>
          </w:rPr>
          <w:t>https://www.ecdc.europa.eu/en/publications-data/syphilis-and-congenital-syphilis-europe-review-epidemiological-trends-2007-2018</w:t>
        </w:r>
      </w:hyperlink>
      <w:r w:rsidR="005A25A2">
        <w:br w:type="page"/>
      </w:r>
    </w:p>
    <w:p w14:paraId="179FAC23" w14:textId="4DBA82A5" w:rsidR="005A25A2" w:rsidRDefault="005A25A2" w:rsidP="005A25A2">
      <w:pPr>
        <w:pStyle w:val="EC-Title-6"/>
        <w:rPr>
          <w:rStyle w:val="EC-Title-6CharChar"/>
          <w:b/>
          <w:bCs/>
          <w:sz w:val="28"/>
          <w:szCs w:val="28"/>
        </w:rPr>
      </w:pPr>
      <w:bookmarkStart w:id="44" w:name="_Toc175577691"/>
      <w:r w:rsidRPr="00D66740">
        <w:rPr>
          <w:rStyle w:val="EC-Title-6CharChar"/>
          <w:b/>
          <w:bCs/>
          <w:sz w:val="28"/>
          <w:szCs w:val="28"/>
        </w:rPr>
        <w:lastRenderedPageBreak/>
        <w:t xml:space="preserve">Surveillance systems overview, </w:t>
      </w:r>
      <w:r>
        <w:rPr>
          <w:rStyle w:val="EC-Title-6CharChar"/>
          <w:b/>
          <w:bCs/>
          <w:sz w:val="28"/>
          <w:szCs w:val="28"/>
        </w:rPr>
        <w:t>syphilis, 202</w:t>
      </w:r>
      <w:r w:rsidR="00A60A7E">
        <w:rPr>
          <w:rStyle w:val="EC-Title-6CharChar"/>
          <w:b/>
          <w:bCs/>
          <w:sz w:val="28"/>
          <w:szCs w:val="28"/>
        </w:rPr>
        <w:t>3</w:t>
      </w:r>
      <w:bookmarkEnd w:id="44"/>
    </w:p>
    <w:p w14:paraId="639B78E7" w14:textId="77777777" w:rsidR="005A25A2" w:rsidRDefault="005A25A2" w:rsidP="005A25A2">
      <w:pPr>
        <w:rPr>
          <w:i/>
        </w:rPr>
      </w:pPr>
    </w:p>
    <w:p w14:paraId="5E7A2CFA" w14:textId="77777777" w:rsidR="005A25A2" w:rsidRDefault="005A25A2" w:rsidP="005A25A2">
      <w:pPr>
        <w:rPr>
          <w:i/>
        </w:rPr>
      </w:pPr>
    </w:p>
    <w:p w14:paraId="0DCCE524" w14:textId="2A4D649A" w:rsidR="005A25A2" w:rsidRDefault="008448BD" w:rsidP="005A25A2">
      <w:pPr>
        <w:spacing w:after="200" w:line="276" w:lineRule="auto"/>
      </w:pPr>
      <w:r w:rsidRPr="008448BD">
        <w:drawing>
          <wp:inline distT="0" distB="0" distL="0" distR="0" wp14:anchorId="0BFC44DF" wp14:editId="5385A915">
            <wp:extent cx="5731510" cy="4015105"/>
            <wp:effectExtent l="0" t="0" r="2540" b="4445"/>
            <wp:docPr id="5463561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015105"/>
                    </a:xfrm>
                    <a:prstGeom prst="rect">
                      <a:avLst/>
                    </a:prstGeom>
                    <a:noFill/>
                    <a:ln>
                      <a:noFill/>
                    </a:ln>
                  </pic:spPr>
                </pic:pic>
              </a:graphicData>
            </a:graphic>
          </wp:inline>
        </w:drawing>
      </w:r>
    </w:p>
    <w:p w14:paraId="087F3D45" w14:textId="76554190" w:rsidR="005A25A2" w:rsidRPr="00EB3A2F" w:rsidRDefault="005A25A2" w:rsidP="005A25A2">
      <w:pPr>
        <w:rPr>
          <w:i/>
        </w:rPr>
      </w:pPr>
      <w:r>
        <w:rPr>
          <w:i/>
        </w:rPr>
        <w:t xml:space="preserve">Note: Austria </w:t>
      </w:r>
      <w:r w:rsidR="000D37D6">
        <w:rPr>
          <w:i/>
        </w:rPr>
        <w:t xml:space="preserve">does not </w:t>
      </w:r>
      <w:r>
        <w:rPr>
          <w:i/>
        </w:rPr>
        <w:t xml:space="preserve">report </w:t>
      </w:r>
      <w:r w:rsidR="000D37D6">
        <w:rPr>
          <w:i/>
        </w:rPr>
        <w:t xml:space="preserve">syphilis </w:t>
      </w:r>
      <w:r>
        <w:rPr>
          <w:i/>
        </w:rPr>
        <w:t>data</w:t>
      </w:r>
      <w:r w:rsidR="000D37D6">
        <w:rPr>
          <w:i/>
        </w:rPr>
        <w:t xml:space="preserve">. </w:t>
      </w:r>
    </w:p>
    <w:p w14:paraId="26B3C57C" w14:textId="46F34E88" w:rsidR="005A25A2" w:rsidRDefault="005A25A2">
      <w:pPr>
        <w:spacing w:after="200" w:line="276" w:lineRule="auto"/>
        <w:rPr>
          <w:b/>
          <w:bCs/>
          <w:color w:val="69AE23"/>
          <w:sz w:val="26"/>
          <w:szCs w:val="26"/>
          <w:lang w:eastAsia="en-US"/>
        </w:rPr>
      </w:pPr>
      <w:r>
        <w:rPr>
          <w:b/>
          <w:bCs/>
          <w:color w:val="69AE23"/>
          <w:sz w:val="26"/>
          <w:szCs w:val="26"/>
          <w:lang w:eastAsia="en-US"/>
        </w:rPr>
        <w:br w:type="page"/>
      </w:r>
    </w:p>
    <w:p w14:paraId="62C798A2" w14:textId="77777777" w:rsidR="00415D40" w:rsidRDefault="00415D40" w:rsidP="00415D40">
      <w:pPr>
        <w:pStyle w:val="EC-Title-5"/>
        <w:rPr>
          <w:i/>
        </w:rPr>
      </w:pPr>
      <w:bookmarkStart w:id="45" w:name="_Toc175577692"/>
      <w:r>
        <w:lastRenderedPageBreak/>
        <w:t>Lymphogranuloma venereum</w:t>
      </w:r>
      <w:bookmarkEnd w:id="45"/>
    </w:p>
    <w:p w14:paraId="076D0A83" w14:textId="77777777" w:rsidR="00056AF0" w:rsidRDefault="00056AF0" w:rsidP="00056AF0">
      <w:pPr>
        <w:pStyle w:val="EC-Para"/>
        <w:jc w:val="right"/>
        <w:rPr>
          <w:b/>
          <w:lang w:eastAsia="en-US"/>
        </w:rPr>
      </w:pPr>
      <w:r>
        <w:rPr>
          <w:b/>
          <w:lang w:eastAsia="en-US"/>
        </w:rPr>
        <w:t>Last updated: 29 August 2024</w:t>
      </w:r>
    </w:p>
    <w:p w14:paraId="7D39029A" w14:textId="26F552FC" w:rsidR="00056AF0" w:rsidRDefault="00056AF0" w:rsidP="00056AF0">
      <w:pPr>
        <w:pStyle w:val="EC-Para"/>
        <w:jc w:val="right"/>
        <w:rPr>
          <w:b/>
          <w:lang w:eastAsia="en-US"/>
        </w:rPr>
      </w:pPr>
      <w:r>
        <w:rPr>
          <w:b/>
          <w:lang w:eastAsia="en-US"/>
        </w:rPr>
        <w:t xml:space="preserve">Data as of </w:t>
      </w:r>
      <w:r w:rsidR="008448BD">
        <w:rPr>
          <w:b/>
          <w:lang w:eastAsia="en-US"/>
        </w:rPr>
        <w:t>2</w:t>
      </w:r>
      <w:r>
        <w:rPr>
          <w:b/>
          <w:lang w:eastAsia="en-US"/>
        </w:rPr>
        <w:t>9 August 2024</w:t>
      </w:r>
    </w:p>
    <w:p w14:paraId="4DFE9CB4" w14:textId="1A958D2D" w:rsidR="00415D40" w:rsidRPr="00E85C7E" w:rsidRDefault="00415D40" w:rsidP="00E23742">
      <w:pPr>
        <w:autoSpaceDE w:val="0"/>
        <w:autoSpaceDN w:val="0"/>
        <w:adjustRightInd w:val="0"/>
        <w:spacing w:after="120"/>
        <w:jc w:val="both"/>
        <w:rPr>
          <w:color w:val="333333"/>
          <w:szCs w:val="18"/>
          <w:shd w:val="clear" w:color="auto" w:fill="FFFFFF"/>
        </w:rPr>
      </w:pPr>
      <w:r>
        <w:rPr>
          <w:rFonts w:cs="Tahoma"/>
          <w:sz w:val="18"/>
          <w:szCs w:val="18"/>
          <w:shd w:val="clear" w:color="auto" w:fill="FFFFFF"/>
        </w:rPr>
        <w:t>Lymphogranuloma venereum (LGV)</w:t>
      </w:r>
      <w:r w:rsidRPr="00E85C7E">
        <w:rPr>
          <w:rFonts w:cs="Tahoma"/>
          <w:sz w:val="18"/>
          <w:szCs w:val="18"/>
          <w:shd w:val="clear" w:color="auto" w:fill="FFFFFF"/>
        </w:rPr>
        <w:t xml:space="preserve"> is a </w:t>
      </w:r>
      <w:r>
        <w:rPr>
          <w:rFonts w:cs="Tahoma"/>
          <w:sz w:val="18"/>
          <w:szCs w:val="18"/>
          <w:shd w:val="clear" w:color="auto" w:fill="FFFFFF"/>
        </w:rPr>
        <w:t xml:space="preserve">systemic </w:t>
      </w:r>
      <w:r w:rsidRPr="00E85C7E">
        <w:rPr>
          <w:rFonts w:cs="Tahoma"/>
          <w:sz w:val="18"/>
          <w:szCs w:val="18"/>
          <w:shd w:val="clear" w:color="auto" w:fill="FFFFFF"/>
        </w:rPr>
        <w:t xml:space="preserve">sexually transmitted infection caused by the </w:t>
      </w:r>
      <w:r>
        <w:rPr>
          <w:rFonts w:cs="Tahoma"/>
          <w:sz w:val="18"/>
          <w:szCs w:val="18"/>
          <w:shd w:val="clear" w:color="auto" w:fill="FFFFFF"/>
        </w:rPr>
        <w:t xml:space="preserve">L1, L2 and L3 serovars of the </w:t>
      </w:r>
      <w:r w:rsidRPr="00E85C7E">
        <w:rPr>
          <w:rFonts w:cs="Tahoma"/>
          <w:sz w:val="18"/>
          <w:szCs w:val="18"/>
          <w:shd w:val="clear" w:color="auto" w:fill="FFFFFF"/>
        </w:rPr>
        <w:t>bacterium</w:t>
      </w:r>
      <w:r w:rsidRPr="00E85C7E">
        <w:rPr>
          <w:rStyle w:val="apple-converted-space"/>
          <w:szCs w:val="18"/>
          <w:shd w:val="clear" w:color="auto" w:fill="FFFFFF"/>
        </w:rPr>
        <w:t> </w:t>
      </w:r>
      <w:r>
        <w:rPr>
          <w:rStyle w:val="Emphasis"/>
          <w:rFonts w:cs="Tahoma"/>
          <w:sz w:val="18"/>
          <w:szCs w:val="18"/>
          <w:shd w:val="clear" w:color="auto" w:fill="FFFFFF"/>
        </w:rPr>
        <w:t>Chlamydia trachomatis</w:t>
      </w:r>
      <w:r w:rsidRPr="00E85C7E">
        <w:rPr>
          <w:rFonts w:cs="Tahoma"/>
          <w:sz w:val="18"/>
          <w:szCs w:val="18"/>
          <w:shd w:val="clear" w:color="auto" w:fill="FFFFFF"/>
        </w:rPr>
        <w:t>.</w:t>
      </w:r>
      <w:r w:rsidRPr="00E85C7E">
        <w:rPr>
          <w:rStyle w:val="apple-converted-space"/>
          <w:szCs w:val="18"/>
          <w:shd w:val="clear" w:color="auto" w:fill="FFFFFF"/>
        </w:rPr>
        <w:t> </w:t>
      </w:r>
      <w:r w:rsidRPr="00E85C7E">
        <w:rPr>
          <w:rFonts w:eastAsiaTheme="minorHAnsi" w:cs="Tahoma"/>
          <w:sz w:val="18"/>
          <w:szCs w:val="18"/>
          <w:lang w:eastAsia="en-US"/>
        </w:rPr>
        <w:t>For a more detailed description of the disease and its epidemiology</w:t>
      </w:r>
      <w:r>
        <w:rPr>
          <w:rFonts w:eastAsiaTheme="minorHAnsi" w:cs="Tahoma"/>
          <w:sz w:val="18"/>
          <w:szCs w:val="18"/>
          <w:lang w:eastAsia="en-US"/>
        </w:rPr>
        <w:t>,</w:t>
      </w:r>
      <w:r w:rsidRPr="00E85C7E">
        <w:rPr>
          <w:rFonts w:eastAsiaTheme="minorHAnsi" w:cs="Tahoma"/>
          <w:sz w:val="18"/>
          <w:szCs w:val="18"/>
          <w:lang w:eastAsia="en-US"/>
        </w:rPr>
        <w:t xml:space="preserve"> please click</w:t>
      </w:r>
      <w:r w:rsidRPr="00E85C7E">
        <w:rPr>
          <w:rFonts w:cs="Tahoma"/>
          <w:sz w:val="18"/>
          <w:szCs w:val="18"/>
        </w:rPr>
        <w:t xml:space="preserve"> </w:t>
      </w:r>
      <w:hyperlink r:id="rId24" w:history="1">
        <w:r w:rsidRPr="00F44E9A">
          <w:rPr>
            <w:rStyle w:val="Hyperlink"/>
            <w:i/>
            <w:szCs w:val="18"/>
          </w:rPr>
          <w:t>here</w:t>
        </w:r>
      </w:hyperlink>
      <w:r w:rsidRPr="00F44E9A">
        <w:rPr>
          <w:rStyle w:val="Hyperlink"/>
          <w:i/>
          <w:szCs w:val="18"/>
        </w:rPr>
        <w:t xml:space="preserve">.  </w:t>
      </w:r>
    </w:p>
    <w:p w14:paraId="3BCE7E8E" w14:textId="77777777" w:rsidR="00415D40" w:rsidRDefault="00415D40" w:rsidP="00415D40">
      <w:pPr>
        <w:pStyle w:val="EC-Title-6"/>
        <w:rPr>
          <w:rFonts w:cs="Tahoma"/>
        </w:rPr>
      </w:pPr>
      <w:bookmarkStart w:id="46" w:name="_Toc175577693"/>
      <w:r>
        <w:rPr>
          <w:rFonts w:cs="Tahoma"/>
        </w:rPr>
        <w:t>Data</w:t>
      </w:r>
      <w:bookmarkEnd w:id="46"/>
    </w:p>
    <w:p w14:paraId="7BD9ED44" w14:textId="77777777" w:rsidR="00415D40" w:rsidRDefault="00415D40" w:rsidP="00415D40">
      <w:pPr>
        <w:pStyle w:val="EC-Para"/>
        <w:jc w:val="both"/>
        <w:rPr>
          <w:rFonts w:cs="Tahoma"/>
        </w:rPr>
      </w:pPr>
      <w:r>
        <w:rPr>
          <w:rFonts w:cs="Tahoma"/>
        </w:rPr>
        <w:t>The Surveillance Atlas of Infectious Diseases displays data on LGV infections reported by the EU/EEA Member States. T</w:t>
      </w:r>
      <w:r w:rsidRPr="0057427A">
        <w:rPr>
          <w:rFonts w:cs="Tahoma"/>
        </w:rPr>
        <w:t>he European Centre for Disease Prevention</w:t>
      </w:r>
      <w:r>
        <w:rPr>
          <w:rFonts w:cs="Tahoma"/>
        </w:rPr>
        <w:t xml:space="preserve"> </w:t>
      </w:r>
      <w:r w:rsidRPr="0057427A">
        <w:rPr>
          <w:rFonts w:cs="Tahoma"/>
        </w:rPr>
        <w:t>and Control (ECDC) has been coordinating the enhanced</w:t>
      </w:r>
      <w:r>
        <w:rPr>
          <w:rFonts w:cs="Tahoma"/>
        </w:rPr>
        <w:t xml:space="preserve"> </w:t>
      </w:r>
      <w:r w:rsidRPr="0057427A">
        <w:rPr>
          <w:rFonts w:cs="Tahoma"/>
        </w:rPr>
        <w:t xml:space="preserve">surveillance of </w:t>
      </w:r>
      <w:r>
        <w:rPr>
          <w:rFonts w:cs="Tahoma"/>
        </w:rPr>
        <w:t>LGV</w:t>
      </w:r>
      <w:r w:rsidRPr="0057427A">
        <w:rPr>
          <w:rFonts w:cs="Tahoma"/>
        </w:rPr>
        <w:t xml:space="preserve"> in</w:t>
      </w:r>
      <w:r>
        <w:rPr>
          <w:rFonts w:cs="Tahoma"/>
        </w:rPr>
        <w:t xml:space="preserve"> </w:t>
      </w:r>
      <w:r w:rsidRPr="0057427A">
        <w:rPr>
          <w:rFonts w:cs="Tahoma"/>
        </w:rPr>
        <w:t>Europe</w:t>
      </w:r>
      <w:r>
        <w:rPr>
          <w:rFonts w:cs="Tahoma"/>
        </w:rPr>
        <w:t xml:space="preserve"> since 2009</w:t>
      </w:r>
      <w:r w:rsidRPr="0057427A">
        <w:rPr>
          <w:rFonts w:cs="Tahoma"/>
        </w:rPr>
        <w:t>.</w:t>
      </w:r>
    </w:p>
    <w:p w14:paraId="7270482E" w14:textId="028AE9B2" w:rsidR="00415D40" w:rsidRPr="00F015EE" w:rsidRDefault="00415D40" w:rsidP="00415D40">
      <w:pPr>
        <w:autoSpaceDE w:val="0"/>
        <w:autoSpaceDN w:val="0"/>
        <w:adjustRightInd w:val="0"/>
        <w:spacing w:after="120"/>
        <w:jc w:val="both"/>
        <w:rPr>
          <w:rFonts w:eastAsia="Arial Unicode MS" w:cs="Tahoma"/>
          <w:kern w:val="22"/>
          <w:sz w:val="18"/>
          <w:szCs w:val="18"/>
        </w:rPr>
      </w:pPr>
      <w:r>
        <w:rPr>
          <w:rFonts w:eastAsia="Arial Unicode MS" w:cs="Tahoma"/>
          <w:kern w:val="22"/>
          <w:sz w:val="18"/>
          <w:szCs w:val="18"/>
        </w:rPr>
        <w:t>Cases are classified according to the 201</w:t>
      </w:r>
      <w:r w:rsidR="00DB619E">
        <w:rPr>
          <w:rFonts w:eastAsia="Arial Unicode MS" w:cs="Tahoma"/>
          <w:kern w:val="22"/>
          <w:sz w:val="18"/>
          <w:szCs w:val="18"/>
        </w:rPr>
        <w:t>8</w:t>
      </w:r>
      <w:r>
        <w:rPr>
          <w:rFonts w:eastAsia="Arial Unicode MS" w:cs="Tahoma"/>
          <w:kern w:val="22"/>
          <w:sz w:val="18"/>
          <w:szCs w:val="18"/>
        </w:rPr>
        <w:t xml:space="preserve"> EU case definition for LGV</w:t>
      </w:r>
      <w:r>
        <w:rPr>
          <w:rStyle w:val="FootnoteReference"/>
          <w:rFonts w:eastAsiaTheme="minorHAnsi" w:cs="Tahoma"/>
          <w:szCs w:val="20"/>
          <w:lang w:eastAsia="en-US"/>
        </w:rPr>
        <w:footnoteReference w:id="8"/>
      </w:r>
      <w:r>
        <w:rPr>
          <w:rFonts w:eastAsia="Arial Unicode MS" w:cs="Tahoma"/>
          <w:kern w:val="22"/>
          <w:sz w:val="18"/>
          <w:szCs w:val="18"/>
        </w:rPr>
        <w:t xml:space="preserve">. </w:t>
      </w:r>
      <w:r w:rsidR="007F70E8">
        <w:rPr>
          <w:rFonts w:eastAsia="Arial Unicode MS" w:cs="Tahoma"/>
          <w:kern w:val="22"/>
          <w:sz w:val="18"/>
          <w:szCs w:val="18"/>
        </w:rPr>
        <w:t xml:space="preserve">The case definition has not changed from the 2012 version. </w:t>
      </w:r>
      <w:r>
        <w:rPr>
          <w:rFonts w:eastAsia="Arial Unicode MS" w:cs="Tahoma"/>
          <w:kern w:val="22"/>
          <w:sz w:val="18"/>
          <w:szCs w:val="18"/>
        </w:rPr>
        <w:t xml:space="preserve">Only confirmed cases are </w:t>
      </w:r>
      <w:r w:rsidRPr="003D0723">
        <w:rPr>
          <w:rFonts w:eastAsia="Arial Unicode MS" w:cs="Tahoma"/>
          <w:kern w:val="22"/>
          <w:sz w:val="18"/>
          <w:szCs w:val="18"/>
        </w:rPr>
        <w:t>reported.</w:t>
      </w:r>
      <w:r>
        <w:rPr>
          <w:rFonts w:eastAsia="Arial Unicode MS" w:cs="Tahoma"/>
          <w:kern w:val="22"/>
          <w:sz w:val="18"/>
          <w:szCs w:val="18"/>
        </w:rPr>
        <w:t xml:space="preserve"> </w:t>
      </w:r>
    </w:p>
    <w:p w14:paraId="588DFDED" w14:textId="77777777" w:rsidR="00415D40" w:rsidRPr="00D70CFB" w:rsidRDefault="00415D40" w:rsidP="00415D40">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b/>
          <w:bCs/>
          <w:color w:val="000000"/>
          <w:sz w:val="18"/>
          <w:szCs w:val="18"/>
          <w:lang w:eastAsia="en-US"/>
        </w:rPr>
        <w:t xml:space="preserve">Clinical </w:t>
      </w:r>
      <w:r>
        <w:rPr>
          <w:rFonts w:eastAsiaTheme="minorHAnsi" w:cs="Tahoma"/>
          <w:b/>
          <w:bCs/>
          <w:color w:val="000000"/>
          <w:sz w:val="18"/>
          <w:szCs w:val="18"/>
          <w:lang w:eastAsia="en-US"/>
        </w:rPr>
        <w:t>c</w:t>
      </w:r>
      <w:r w:rsidRPr="00D70CFB">
        <w:rPr>
          <w:rFonts w:eastAsiaTheme="minorHAnsi" w:cs="Tahoma"/>
          <w:b/>
          <w:bCs/>
          <w:color w:val="000000"/>
          <w:sz w:val="18"/>
          <w:szCs w:val="18"/>
          <w:lang w:eastAsia="en-US"/>
        </w:rPr>
        <w:t xml:space="preserve">riteria </w:t>
      </w:r>
    </w:p>
    <w:p w14:paraId="5A53589E"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At least one of the following five:</w:t>
      </w:r>
    </w:p>
    <w:p w14:paraId="4A7B9857"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Urethritis</w:t>
      </w:r>
    </w:p>
    <w:p w14:paraId="02900D83"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Genital ulcer</w:t>
      </w:r>
    </w:p>
    <w:p w14:paraId="6B630E23"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Inguinal lymphadenopathy</w:t>
      </w:r>
    </w:p>
    <w:p w14:paraId="522253B8"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Cervicitis</w:t>
      </w:r>
    </w:p>
    <w:p w14:paraId="09F2A61E" w14:textId="77777777" w:rsidR="00415D40"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Proctitis</w:t>
      </w:r>
    </w:p>
    <w:p w14:paraId="3CDB926F" w14:textId="77777777" w:rsidR="00415D40" w:rsidRPr="00D70CFB" w:rsidRDefault="00415D40" w:rsidP="00415D40">
      <w:pPr>
        <w:autoSpaceDE w:val="0"/>
        <w:autoSpaceDN w:val="0"/>
        <w:adjustRightInd w:val="0"/>
        <w:spacing w:before="60" w:after="60"/>
        <w:rPr>
          <w:rFonts w:eastAsiaTheme="minorHAnsi" w:cs="Tahoma"/>
          <w:i/>
          <w:iCs/>
          <w:color w:val="000000"/>
          <w:sz w:val="18"/>
          <w:szCs w:val="18"/>
          <w:lang w:eastAsia="en-US"/>
        </w:rPr>
      </w:pPr>
      <w:r w:rsidRPr="00D70CFB">
        <w:rPr>
          <w:rFonts w:eastAsiaTheme="minorHAnsi" w:cs="Tahoma"/>
          <w:b/>
          <w:bCs/>
          <w:color w:val="000000"/>
          <w:sz w:val="18"/>
          <w:szCs w:val="18"/>
          <w:lang w:eastAsia="en-US"/>
        </w:rPr>
        <w:t xml:space="preserve">Laboratory </w:t>
      </w:r>
      <w:r>
        <w:rPr>
          <w:rFonts w:eastAsiaTheme="minorHAnsi" w:cs="Tahoma"/>
          <w:b/>
          <w:bCs/>
          <w:color w:val="000000"/>
          <w:sz w:val="18"/>
          <w:szCs w:val="18"/>
          <w:lang w:eastAsia="en-US"/>
        </w:rPr>
        <w:t>c</w:t>
      </w:r>
      <w:r w:rsidRPr="00D70CFB">
        <w:rPr>
          <w:rFonts w:eastAsiaTheme="minorHAnsi" w:cs="Tahoma"/>
          <w:b/>
          <w:bCs/>
          <w:color w:val="000000"/>
          <w:sz w:val="18"/>
          <w:szCs w:val="18"/>
          <w:lang w:eastAsia="en-US"/>
        </w:rPr>
        <w:t xml:space="preserve">riteria </w:t>
      </w:r>
    </w:p>
    <w:p w14:paraId="4E8D7561"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At least one of the following two:</w:t>
      </w:r>
    </w:p>
    <w:p w14:paraId="23DCE7E7"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xml:space="preserve">— Isolation of Chlamydia trachomatis from a specimen of the </w:t>
      </w:r>
      <w:proofErr w:type="spellStart"/>
      <w:r w:rsidRPr="00FB0D31">
        <w:rPr>
          <w:rFonts w:eastAsiaTheme="minorHAnsi" w:cs="Tahoma"/>
          <w:color w:val="000000"/>
          <w:sz w:val="18"/>
          <w:szCs w:val="18"/>
          <w:lang w:eastAsia="en-US"/>
        </w:rPr>
        <w:t>ano</w:t>
      </w:r>
      <w:proofErr w:type="spellEnd"/>
      <w:r w:rsidRPr="00FB0D31">
        <w:rPr>
          <w:rFonts w:eastAsiaTheme="minorHAnsi" w:cs="Tahoma"/>
          <w:color w:val="000000"/>
          <w:sz w:val="18"/>
          <w:szCs w:val="18"/>
          <w:lang w:eastAsia="en-US"/>
        </w:rPr>
        <w:t>-genital tract or from the conjunctiva</w:t>
      </w:r>
    </w:p>
    <w:p w14:paraId="6CB93E57"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Detection of Chlamydia trachomatis nucleic acid in a clinical specimen</w:t>
      </w:r>
    </w:p>
    <w:p w14:paraId="19997D01" w14:textId="77777777" w:rsidR="00415D40" w:rsidRPr="00FB0D31"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AND</w:t>
      </w:r>
    </w:p>
    <w:p w14:paraId="305D4A55" w14:textId="77777777" w:rsidR="00415D40" w:rsidRDefault="00415D40" w:rsidP="00415D40">
      <w:pPr>
        <w:autoSpaceDE w:val="0"/>
        <w:autoSpaceDN w:val="0"/>
        <w:adjustRightInd w:val="0"/>
        <w:spacing w:before="60" w:after="60"/>
        <w:rPr>
          <w:rFonts w:eastAsiaTheme="minorHAnsi" w:cs="Tahoma"/>
          <w:color w:val="000000"/>
          <w:sz w:val="18"/>
          <w:szCs w:val="18"/>
          <w:lang w:eastAsia="en-US"/>
        </w:rPr>
      </w:pPr>
      <w:r w:rsidRPr="00FB0D31">
        <w:rPr>
          <w:rFonts w:eastAsiaTheme="minorHAnsi" w:cs="Tahoma"/>
          <w:color w:val="000000"/>
          <w:sz w:val="18"/>
          <w:szCs w:val="18"/>
          <w:lang w:eastAsia="en-US"/>
        </w:rPr>
        <w:t>— Identification of serovar (</w:t>
      </w:r>
      <w:proofErr w:type="spellStart"/>
      <w:r w:rsidRPr="00FB0D31">
        <w:rPr>
          <w:rFonts w:eastAsiaTheme="minorHAnsi" w:cs="Tahoma"/>
          <w:color w:val="000000"/>
          <w:sz w:val="18"/>
          <w:szCs w:val="18"/>
          <w:lang w:eastAsia="en-US"/>
        </w:rPr>
        <w:t>genovar</w:t>
      </w:r>
      <w:proofErr w:type="spellEnd"/>
      <w:r w:rsidRPr="00FB0D31">
        <w:rPr>
          <w:rFonts w:eastAsiaTheme="minorHAnsi" w:cs="Tahoma"/>
          <w:color w:val="000000"/>
          <w:sz w:val="18"/>
          <w:szCs w:val="18"/>
          <w:lang w:eastAsia="en-US"/>
        </w:rPr>
        <w:t>) L1, L2 or L3</w:t>
      </w:r>
    </w:p>
    <w:p w14:paraId="05F976D9" w14:textId="77777777" w:rsidR="00415D40" w:rsidRDefault="00415D40" w:rsidP="00415D40">
      <w:pPr>
        <w:autoSpaceDE w:val="0"/>
        <w:autoSpaceDN w:val="0"/>
        <w:adjustRightInd w:val="0"/>
        <w:spacing w:before="60" w:after="60"/>
        <w:rPr>
          <w:rFonts w:eastAsiaTheme="minorHAnsi" w:cs="Tahoma"/>
          <w:b/>
          <w:bCs/>
          <w:color w:val="000000"/>
          <w:sz w:val="18"/>
          <w:szCs w:val="18"/>
          <w:lang w:eastAsia="en-US"/>
        </w:rPr>
      </w:pPr>
    </w:p>
    <w:p w14:paraId="4E511FC0" w14:textId="77777777" w:rsidR="00415D40" w:rsidRDefault="00415D40" w:rsidP="00415D40">
      <w:pPr>
        <w:autoSpaceDE w:val="0"/>
        <w:autoSpaceDN w:val="0"/>
        <w:adjustRightInd w:val="0"/>
        <w:spacing w:before="60" w:after="60"/>
        <w:rPr>
          <w:rFonts w:eastAsiaTheme="minorHAnsi" w:cs="Tahoma"/>
          <w:color w:val="000000"/>
          <w:sz w:val="18"/>
          <w:szCs w:val="18"/>
          <w:lang w:eastAsia="en-US"/>
        </w:rPr>
      </w:pPr>
      <w:r>
        <w:rPr>
          <w:rFonts w:eastAsiaTheme="minorHAnsi" w:cs="Tahoma"/>
          <w:b/>
          <w:bCs/>
          <w:color w:val="000000"/>
          <w:sz w:val="18"/>
          <w:szCs w:val="18"/>
          <w:lang w:eastAsia="en-US"/>
        </w:rPr>
        <w:t xml:space="preserve">Epidemiological criteria </w:t>
      </w:r>
    </w:p>
    <w:p w14:paraId="193BD614" w14:textId="77777777" w:rsidR="00415D40" w:rsidRPr="00D70CFB" w:rsidRDefault="00415D40" w:rsidP="00415D40">
      <w:pPr>
        <w:autoSpaceDE w:val="0"/>
        <w:autoSpaceDN w:val="0"/>
        <w:adjustRightInd w:val="0"/>
        <w:spacing w:before="60" w:after="60"/>
        <w:rPr>
          <w:rFonts w:eastAsiaTheme="minorHAnsi" w:cs="Tahoma"/>
          <w:color w:val="000000"/>
          <w:sz w:val="18"/>
          <w:szCs w:val="18"/>
          <w:lang w:eastAsia="en-US"/>
        </w:rPr>
      </w:pPr>
      <w:r w:rsidRPr="00D70CFB">
        <w:rPr>
          <w:rFonts w:eastAsiaTheme="minorHAnsi" w:cs="Tahoma"/>
          <w:color w:val="000000"/>
          <w:sz w:val="18"/>
          <w:szCs w:val="18"/>
          <w:lang w:eastAsia="en-US"/>
        </w:rPr>
        <w:t>An epidemiological link by human</w:t>
      </w:r>
      <w:r>
        <w:rPr>
          <w:rFonts w:eastAsiaTheme="minorHAnsi" w:cs="Tahoma"/>
          <w:color w:val="000000"/>
          <w:sz w:val="18"/>
          <w:szCs w:val="18"/>
          <w:lang w:eastAsia="en-US"/>
        </w:rPr>
        <w:t>-</w:t>
      </w:r>
      <w:r w:rsidRPr="00D70CFB">
        <w:rPr>
          <w:rFonts w:eastAsiaTheme="minorHAnsi" w:cs="Tahoma"/>
          <w:color w:val="000000"/>
          <w:sz w:val="18"/>
          <w:szCs w:val="18"/>
          <w:lang w:eastAsia="en-US"/>
        </w:rPr>
        <w:t>to</w:t>
      </w:r>
      <w:r>
        <w:rPr>
          <w:rFonts w:eastAsiaTheme="minorHAnsi" w:cs="Tahoma"/>
          <w:color w:val="000000"/>
          <w:sz w:val="18"/>
          <w:szCs w:val="18"/>
          <w:lang w:eastAsia="en-US"/>
        </w:rPr>
        <w:t>-</w:t>
      </w:r>
      <w:r w:rsidRPr="00D70CFB">
        <w:rPr>
          <w:rFonts w:eastAsiaTheme="minorHAnsi" w:cs="Tahoma"/>
          <w:color w:val="000000"/>
          <w:sz w:val="18"/>
          <w:szCs w:val="18"/>
          <w:lang w:eastAsia="en-US"/>
        </w:rPr>
        <w:t>human transmission (sexual contact or vertical transmission)</w:t>
      </w:r>
    </w:p>
    <w:p w14:paraId="27908220" w14:textId="77777777" w:rsidR="00415D40" w:rsidRDefault="00415D40" w:rsidP="00415D40">
      <w:pPr>
        <w:pStyle w:val="CM4"/>
        <w:spacing w:before="60" w:after="60"/>
        <w:rPr>
          <w:rFonts w:ascii="Tahoma" w:hAnsi="Tahoma" w:cs="Tahoma"/>
          <w:b/>
          <w:sz w:val="18"/>
          <w:szCs w:val="18"/>
        </w:rPr>
      </w:pPr>
    </w:p>
    <w:p w14:paraId="6DDCDCB0" w14:textId="77777777" w:rsidR="00415D40" w:rsidRDefault="00415D40" w:rsidP="00415D40">
      <w:pPr>
        <w:pStyle w:val="CM4"/>
        <w:spacing w:before="60" w:after="60"/>
        <w:rPr>
          <w:rFonts w:ascii="Tahoma" w:hAnsi="Tahoma" w:cs="Tahoma"/>
          <w:color w:val="000000"/>
          <w:sz w:val="18"/>
          <w:szCs w:val="18"/>
        </w:rPr>
      </w:pPr>
      <w:r>
        <w:rPr>
          <w:rFonts w:ascii="Tahoma" w:hAnsi="Tahoma" w:cs="Tahoma"/>
          <w:b/>
          <w:sz w:val="18"/>
          <w:szCs w:val="18"/>
        </w:rPr>
        <w:t>Case classification</w:t>
      </w:r>
    </w:p>
    <w:p w14:paraId="4D0B4EB0" w14:textId="77777777" w:rsidR="00415D40" w:rsidRDefault="00415D40" w:rsidP="00415D40">
      <w:pPr>
        <w:autoSpaceDE w:val="0"/>
        <w:autoSpaceDN w:val="0"/>
        <w:adjustRightInd w:val="0"/>
        <w:spacing w:before="60" w:after="60"/>
        <w:rPr>
          <w:rFonts w:eastAsiaTheme="minorHAnsi" w:cs="Tahoma"/>
          <w:color w:val="000000"/>
          <w:sz w:val="18"/>
          <w:szCs w:val="18"/>
          <w:lang w:eastAsia="en-US"/>
        </w:rPr>
      </w:pPr>
      <w:r>
        <w:rPr>
          <w:rFonts w:eastAsiaTheme="minorHAnsi" w:cs="Tahoma"/>
          <w:color w:val="000000"/>
          <w:sz w:val="18"/>
          <w:szCs w:val="18"/>
          <w:lang w:eastAsia="en-US"/>
        </w:rPr>
        <w:t>A. Probable case: Any person meeting the clinical criteria and with an epidemiological link</w:t>
      </w:r>
    </w:p>
    <w:p w14:paraId="45D68E6E" w14:textId="77777777" w:rsidR="00415D40" w:rsidRDefault="00415D40" w:rsidP="00415D40">
      <w:pPr>
        <w:autoSpaceDE w:val="0"/>
        <w:autoSpaceDN w:val="0"/>
        <w:adjustRightInd w:val="0"/>
        <w:spacing w:before="60" w:after="60"/>
        <w:rPr>
          <w:rFonts w:eastAsiaTheme="minorHAnsi" w:cs="Tahoma"/>
          <w:color w:val="000000"/>
          <w:sz w:val="18"/>
          <w:szCs w:val="18"/>
          <w:lang w:eastAsia="en-US"/>
        </w:rPr>
      </w:pPr>
      <w:r>
        <w:rPr>
          <w:rFonts w:eastAsiaTheme="minorHAnsi" w:cs="Tahoma"/>
          <w:color w:val="000000"/>
          <w:sz w:val="18"/>
          <w:szCs w:val="18"/>
          <w:lang w:eastAsia="en-US"/>
        </w:rPr>
        <w:t xml:space="preserve">B. </w:t>
      </w:r>
      <w:r>
        <w:rPr>
          <w:rFonts w:eastAsiaTheme="minorHAnsi" w:cs="Tahoma"/>
          <w:bCs/>
          <w:color w:val="000000"/>
          <w:sz w:val="18"/>
          <w:szCs w:val="18"/>
          <w:lang w:eastAsia="en-US"/>
        </w:rPr>
        <w:t xml:space="preserve">Confirmed case: </w:t>
      </w:r>
      <w:r>
        <w:rPr>
          <w:rFonts w:eastAsiaTheme="minorHAnsi" w:cs="Tahoma"/>
          <w:sz w:val="18"/>
          <w:szCs w:val="18"/>
          <w:lang w:eastAsia="en-US"/>
        </w:rPr>
        <w:t xml:space="preserve">Any person meeting the laboratory criteria </w:t>
      </w:r>
    </w:p>
    <w:p w14:paraId="5322D94B" w14:textId="77777777" w:rsidR="00415D40" w:rsidRPr="00C05A3F" w:rsidRDefault="00415D40" w:rsidP="00415D40">
      <w:pPr>
        <w:pStyle w:val="EC-Para"/>
        <w:spacing w:after="0" w:line="240" w:lineRule="auto"/>
        <w:jc w:val="both"/>
        <w:rPr>
          <w:color w:val="FF0000"/>
          <w:lang w:eastAsia="en-US"/>
        </w:rPr>
      </w:pPr>
    </w:p>
    <w:p w14:paraId="7AF6E916" w14:textId="77777777" w:rsidR="00415D40" w:rsidRPr="00452AF8" w:rsidRDefault="00415D40" w:rsidP="00415D40">
      <w:pPr>
        <w:pStyle w:val="EC-Title-6"/>
        <w:rPr>
          <w:rFonts w:cs="Tahoma"/>
          <w:b w:val="0"/>
        </w:rPr>
      </w:pPr>
      <w:bookmarkStart w:id="47" w:name="_Toc175577694"/>
      <w:r w:rsidRPr="00BD0ACE">
        <w:rPr>
          <w:rFonts w:cs="Tahoma"/>
          <w:b w:val="0"/>
        </w:rPr>
        <w:t>Data collection and analysis</w:t>
      </w:r>
      <w:bookmarkEnd w:id="47"/>
      <w:r w:rsidRPr="00BD0ACE">
        <w:rPr>
          <w:rFonts w:cs="Tahoma"/>
          <w:b w:val="0"/>
        </w:rPr>
        <w:t xml:space="preserve"> </w:t>
      </w:r>
    </w:p>
    <w:p w14:paraId="6D58DED6" w14:textId="783B3210" w:rsidR="00415D40" w:rsidRDefault="00415D40" w:rsidP="00415D40">
      <w:pPr>
        <w:pStyle w:val="EC-Para"/>
        <w:spacing w:line="240" w:lineRule="auto"/>
        <w:jc w:val="both"/>
        <w:rPr>
          <w:rFonts w:cs="Tahoma"/>
        </w:rPr>
      </w:pPr>
      <w:r>
        <w:rPr>
          <w:rFonts w:cs="Tahoma"/>
        </w:rPr>
        <w:t>Data are collected on an annual basis. The Surveillance Atlas indicators are calculated</w:t>
      </w:r>
      <w:r w:rsidR="00F013A1">
        <w:rPr>
          <w:rFonts w:cs="Tahoma"/>
        </w:rPr>
        <w:t xml:space="preserve"> for cases up to the end of </w:t>
      </w:r>
      <w:r w:rsidR="000D37D6">
        <w:rPr>
          <w:rFonts w:cs="Tahoma"/>
        </w:rPr>
        <w:t>2023</w:t>
      </w:r>
      <w:r>
        <w:rPr>
          <w:rFonts w:cs="Tahoma"/>
        </w:rPr>
        <w:t xml:space="preserve">. </w:t>
      </w:r>
      <w:r w:rsidRPr="007B34B1">
        <w:rPr>
          <w:rFonts w:cs="Tahoma"/>
        </w:rPr>
        <w:t>Prior to analys</w:t>
      </w:r>
      <w:r>
        <w:rPr>
          <w:rFonts w:cs="Tahoma"/>
        </w:rPr>
        <w:t>i</w:t>
      </w:r>
      <w:r w:rsidRPr="007B34B1">
        <w:rPr>
          <w:rFonts w:cs="Tahoma"/>
        </w:rPr>
        <w:t xml:space="preserve">s, data are validated with nominated data providers in each EU/EEA country. </w:t>
      </w:r>
      <w:r>
        <w:rPr>
          <w:rFonts w:cs="Tahoma"/>
        </w:rPr>
        <w:t>Data from countries with sentinel surveillance systems are excluded from</w:t>
      </w:r>
      <w:r>
        <w:t xml:space="preserve"> the calculation of notification rates. Country population denominators by age group and gender were obtained from Eurostat</w:t>
      </w:r>
      <w:r>
        <w:rPr>
          <w:rStyle w:val="FootnoteReference"/>
        </w:rPr>
        <w:footnoteReference w:id="9"/>
      </w:r>
      <w:r>
        <w:t xml:space="preserve"> for the calculation of notification rates.</w:t>
      </w:r>
      <w:r>
        <w:rPr>
          <w:rFonts w:cstheme="minorHAnsi"/>
        </w:rPr>
        <w:t xml:space="preserve"> Note that the data published in the Surveillance Atlas might differ from figures in national reports due to different times of reporting, inclusion of cases by different case definitions and use of different denominators.</w:t>
      </w:r>
    </w:p>
    <w:p w14:paraId="3FAC3FBC" w14:textId="7BC64A3C" w:rsidR="00415D40" w:rsidRDefault="00B44E2D" w:rsidP="00415D40">
      <w:pPr>
        <w:pStyle w:val="EC-Para"/>
        <w:jc w:val="both"/>
        <w:rPr>
          <w:rFonts w:cs="Tahoma"/>
        </w:rPr>
      </w:pPr>
      <w:r w:rsidRPr="00B44E2D">
        <w:t xml:space="preserve">Indicators were not calculated for variables for which a threshold level of completeness for a given geographical resolution (e.g. country, EU/EEA) and </w:t>
      </w:r>
      <w:proofErr w:type="gramStart"/>
      <w:r w:rsidRPr="00B44E2D">
        <w:t>time period</w:t>
      </w:r>
      <w:proofErr w:type="gramEnd"/>
      <w:r w:rsidRPr="00B44E2D">
        <w:t xml:space="preserve"> has not been reached. </w:t>
      </w:r>
      <w:r w:rsidR="00415D40">
        <w:rPr>
          <w:rFonts w:cs="Tahoma"/>
        </w:rPr>
        <w:t xml:space="preserve">Surveillance systems across the EU/EEA countries are heterogeneous and a surveillance systems overview is displayed in </w:t>
      </w:r>
      <w:r w:rsidR="004D2C32">
        <w:rPr>
          <w:rFonts w:cs="Tahoma"/>
        </w:rPr>
        <w:t>t</w:t>
      </w:r>
      <w:r w:rsidR="00776D29">
        <w:rPr>
          <w:rFonts w:cs="Tahoma"/>
        </w:rPr>
        <w:t xml:space="preserve">he </w:t>
      </w:r>
      <w:r w:rsidR="004D2C32">
        <w:rPr>
          <w:rFonts w:cs="Tahoma"/>
        </w:rPr>
        <w:t>t</w:t>
      </w:r>
      <w:r w:rsidR="00776D29">
        <w:rPr>
          <w:rFonts w:cs="Tahoma"/>
        </w:rPr>
        <w:t>able below</w:t>
      </w:r>
      <w:r w:rsidR="00415D40">
        <w:rPr>
          <w:rFonts w:cs="Tahoma"/>
        </w:rPr>
        <w:t>.</w:t>
      </w:r>
    </w:p>
    <w:p w14:paraId="4E15F38D" w14:textId="77777777" w:rsidR="00415D40" w:rsidRPr="0072746F" w:rsidRDefault="00415D40" w:rsidP="00F013A1">
      <w:pPr>
        <w:pStyle w:val="EC-Title-6"/>
        <w:keepNext/>
        <w:rPr>
          <w:rFonts w:cs="Tahoma"/>
          <w:b w:val="0"/>
        </w:rPr>
      </w:pPr>
      <w:bookmarkStart w:id="48" w:name="_Toc175577695"/>
      <w:r w:rsidRPr="0072746F">
        <w:rPr>
          <w:rFonts w:cs="Tahoma"/>
          <w:b w:val="0"/>
        </w:rPr>
        <w:t>Surveillance Atlas indicators</w:t>
      </w:r>
      <w:bookmarkEnd w:id="48"/>
    </w:p>
    <w:p w14:paraId="3B2D4369" w14:textId="77777777" w:rsidR="00415D40" w:rsidRPr="00E45D73" w:rsidRDefault="00415D40" w:rsidP="00415D40">
      <w:pPr>
        <w:pStyle w:val="EC-Para"/>
        <w:rPr>
          <w:rFonts w:cs="Tahoma"/>
        </w:rPr>
      </w:pPr>
      <w:r w:rsidRPr="00E45D73">
        <w:rPr>
          <w:rFonts w:cs="Tahoma"/>
        </w:rPr>
        <w:t>The Surveillance Atlas indicators for LGV are:</w:t>
      </w:r>
    </w:p>
    <w:p w14:paraId="527FEF28" w14:textId="7CB661AF" w:rsidR="00415D40" w:rsidRPr="00E45D73" w:rsidRDefault="00415D40" w:rsidP="00F013A1">
      <w:pPr>
        <w:pStyle w:val="EC-Para"/>
        <w:numPr>
          <w:ilvl w:val="0"/>
          <w:numId w:val="17"/>
        </w:numPr>
        <w:spacing w:after="0"/>
        <w:rPr>
          <w:rFonts w:cs="Tahoma"/>
        </w:rPr>
      </w:pPr>
      <w:r w:rsidRPr="00E45D73">
        <w:rPr>
          <w:rFonts w:cs="Tahoma"/>
        </w:rPr>
        <w:lastRenderedPageBreak/>
        <w:t>Number of reported cases</w:t>
      </w:r>
    </w:p>
    <w:p w14:paraId="70D69221" w14:textId="77777777" w:rsidR="00415D40" w:rsidRDefault="00415D40" w:rsidP="00415D40">
      <w:pPr>
        <w:pStyle w:val="EC-Para"/>
        <w:spacing w:after="0"/>
        <w:ind w:left="720"/>
        <w:rPr>
          <w:rFonts w:cs="Tahoma"/>
          <w:highlight w:val="yellow"/>
        </w:rPr>
      </w:pPr>
    </w:p>
    <w:p w14:paraId="74978FC0" w14:textId="4A90E9E2" w:rsidR="00415D40" w:rsidRDefault="00F013A1" w:rsidP="00415D40">
      <w:pPr>
        <w:autoSpaceDE w:val="0"/>
        <w:autoSpaceDN w:val="0"/>
        <w:spacing w:line="200" w:lineRule="atLeast"/>
        <w:rPr>
          <w:sz w:val="18"/>
          <w:szCs w:val="18"/>
        </w:rPr>
      </w:pPr>
      <w:r>
        <w:rPr>
          <w:sz w:val="18"/>
          <w:szCs w:val="18"/>
        </w:rPr>
        <w:t>The</w:t>
      </w:r>
      <w:r w:rsidR="00415D40">
        <w:rPr>
          <w:sz w:val="18"/>
          <w:szCs w:val="18"/>
        </w:rPr>
        <w:t xml:space="preserve"> data may be displayed in a bar chart or a pie chart by proportion of:  </w:t>
      </w:r>
    </w:p>
    <w:p w14:paraId="7572AEAF" w14:textId="46CA1E2B" w:rsidR="00415D40" w:rsidRDefault="00415D40" w:rsidP="00415D40">
      <w:pPr>
        <w:numPr>
          <w:ilvl w:val="0"/>
          <w:numId w:val="4"/>
        </w:numPr>
        <w:autoSpaceDE w:val="0"/>
        <w:autoSpaceDN w:val="0"/>
        <w:spacing w:line="200" w:lineRule="atLeast"/>
        <w:rPr>
          <w:sz w:val="18"/>
          <w:szCs w:val="18"/>
        </w:rPr>
      </w:pPr>
      <w:r>
        <w:rPr>
          <w:sz w:val="18"/>
          <w:szCs w:val="18"/>
        </w:rPr>
        <w:t xml:space="preserve">Age groups </w:t>
      </w:r>
      <w:r>
        <w:rPr>
          <w:rFonts w:eastAsia="Arial Unicode MS" w:cs="Tahoma"/>
          <w:kern w:val="22"/>
          <w:sz w:val="18"/>
          <w:szCs w:val="18"/>
        </w:rPr>
        <w:t>(0-</w:t>
      </w:r>
      <w:r w:rsidRPr="007B34B1">
        <w:rPr>
          <w:rFonts w:eastAsia="Arial Unicode MS" w:cs="Tahoma"/>
          <w:kern w:val="22"/>
          <w:sz w:val="18"/>
          <w:szCs w:val="18"/>
        </w:rPr>
        <w:t>14, 15-</w:t>
      </w:r>
      <w:r w:rsidR="00145646">
        <w:rPr>
          <w:rFonts w:eastAsia="Arial Unicode MS" w:cs="Tahoma"/>
          <w:kern w:val="22"/>
          <w:sz w:val="18"/>
          <w:szCs w:val="18"/>
        </w:rPr>
        <w:t>24</w:t>
      </w:r>
      <w:r w:rsidRPr="007B34B1">
        <w:rPr>
          <w:rFonts w:eastAsia="Arial Unicode MS" w:cs="Tahoma"/>
          <w:kern w:val="22"/>
          <w:sz w:val="18"/>
          <w:szCs w:val="18"/>
        </w:rPr>
        <w:t xml:space="preserve">, </w:t>
      </w:r>
      <w:r>
        <w:rPr>
          <w:rFonts w:eastAsia="Arial Unicode MS" w:cs="Tahoma"/>
          <w:kern w:val="22"/>
          <w:sz w:val="18"/>
          <w:szCs w:val="18"/>
        </w:rPr>
        <w:t>2</w:t>
      </w:r>
      <w:r w:rsidRPr="007B34B1">
        <w:rPr>
          <w:rFonts w:eastAsia="Arial Unicode MS" w:cs="Tahoma"/>
          <w:kern w:val="22"/>
          <w:sz w:val="18"/>
          <w:szCs w:val="18"/>
        </w:rPr>
        <w:t>5-</w:t>
      </w:r>
      <w:r>
        <w:rPr>
          <w:rFonts w:eastAsia="Arial Unicode MS" w:cs="Tahoma"/>
          <w:kern w:val="22"/>
          <w:sz w:val="18"/>
          <w:szCs w:val="18"/>
        </w:rPr>
        <w:t>3</w:t>
      </w:r>
      <w:r w:rsidRPr="007B34B1">
        <w:rPr>
          <w:rFonts w:eastAsia="Arial Unicode MS" w:cs="Tahoma"/>
          <w:kern w:val="22"/>
          <w:sz w:val="18"/>
          <w:szCs w:val="18"/>
        </w:rPr>
        <w:t xml:space="preserve">4, </w:t>
      </w:r>
      <w:r>
        <w:rPr>
          <w:rFonts w:eastAsia="Arial Unicode MS" w:cs="Tahoma"/>
          <w:kern w:val="22"/>
          <w:sz w:val="18"/>
          <w:szCs w:val="18"/>
        </w:rPr>
        <w:t>35-44, 45</w:t>
      </w:r>
      <w:r w:rsidRPr="007B34B1">
        <w:rPr>
          <w:rFonts w:eastAsia="Arial Unicode MS" w:cs="Tahoma"/>
          <w:kern w:val="22"/>
          <w:sz w:val="18"/>
          <w:szCs w:val="18"/>
        </w:rPr>
        <w:t xml:space="preserve"> years and above</w:t>
      </w:r>
      <w:proofErr w:type="gramStart"/>
      <w:r w:rsidRPr="007B34B1">
        <w:rPr>
          <w:rFonts w:eastAsia="Arial Unicode MS" w:cs="Tahoma"/>
          <w:kern w:val="22"/>
          <w:sz w:val="18"/>
          <w:szCs w:val="18"/>
        </w:rPr>
        <w:t>);</w:t>
      </w:r>
      <w:proofErr w:type="gramEnd"/>
    </w:p>
    <w:p w14:paraId="4BA46C2E" w14:textId="77777777" w:rsidR="00415D40" w:rsidRPr="00AD4DB2" w:rsidRDefault="00415D40" w:rsidP="00415D40">
      <w:pPr>
        <w:numPr>
          <w:ilvl w:val="0"/>
          <w:numId w:val="4"/>
        </w:numPr>
        <w:autoSpaceDE w:val="0"/>
        <w:autoSpaceDN w:val="0"/>
        <w:spacing w:line="200" w:lineRule="atLeast"/>
        <w:rPr>
          <w:sz w:val="18"/>
          <w:szCs w:val="18"/>
        </w:rPr>
      </w:pPr>
      <w:proofErr w:type="gramStart"/>
      <w:r>
        <w:rPr>
          <w:sz w:val="18"/>
          <w:szCs w:val="18"/>
        </w:rPr>
        <w:t>Gender;</w:t>
      </w:r>
      <w:proofErr w:type="gramEnd"/>
    </w:p>
    <w:p w14:paraId="7DD6FD3E" w14:textId="799D0DCC" w:rsidR="00415D40" w:rsidRPr="00F013A1" w:rsidRDefault="00F013A1" w:rsidP="00415D40">
      <w:pPr>
        <w:pStyle w:val="ListParagraph"/>
        <w:numPr>
          <w:ilvl w:val="0"/>
          <w:numId w:val="8"/>
        </w:numPr>
        <w:autoSpaceDE w:val="0"/>
        <w:autoSpaceDN w:val="0"/>
        <w:spacing w:after="0" w:line="200" w:lineRule="exact"/>
        <w:rPr>
          <w:sz w:val="18"/>
          <w:szCs w:val="18"/>
          <w:lang w:eastAsia="ko-KR"/>
        </w:rPr>
      </w:pPr>
      <w:r>
        <w:rPr>
          <w:rFonts w:eastAsia="Arial Unicode MS" w:cs="Tahoma"/>
          <w:kern w:val="22"/>
          <w:sz w:val="18"/>
          <w:szCs w:val="18"/>
        </w:rPr>
        <w:t xml:space="preserve">Transmission </w:t>
      </w:r>
      <w:proofErr w:type="gramStart"/>
      <w:r>
        <w:rPr>
          <w:rFonts w:eastAsia="Arial Unicode MS" w:cs="Tahoma"/>
          <w:kern w:val="22"/>
          <w:sz w:val="18"/>
          <w:szCs w:val="18"/>
        </w:rPr>
        <w:t>category;</w:t>
      </w:r>
      <w:proofErr w:type="gramEnd"/>
    </w:p>
    <w:p w14:paraId="1927404D" w14:textId="6294C29B" w:rsidR="00F013A1" w:rsidRPr="00E45D73" w:rsidRDefault="00F013A1" w:rsidP="00415D40">
      <w:pPr>
        <w:pStyle w:val="ListParagraph"/>
        <w:numPr>
          <w:ilvl w:val="0"/>
          <w:numId w:val="8"/>
        </w:numPr>
        <w:autoSpaceDE w:val="0"/>
        <w:autoSpaceDN w:val="0"/>
        <w:spacing w:after="0" w:line="200" w:lineRule="exact"/>
        <w:rPr>
          <w:sz w:val="18"/>
          <w:szCs w:val="18"/>
          <w:lang w:eastAsia="ko-KR"/>
        </w:rPr>
      </w:pPr>
      <w:r>
        <w:rPr>
          <w:rFonts w:eastAsia="Arial Unicode MS" w:cs="Tahoma"/>
          <w:kern w:val="22"/>
          <w:sz w:val="18"/>
          <w:szCs w:val="18"/>
        </w:rPr>
        <w:t>HIV status</w:t>
      </w:r>
    </w:p>
    <w:p w14:paraId="3BBE403D" w14:textId="77777777" w:rsidR="00415D40" w:rsidRDefault="00415D40" w:rsidP="00415D40">
      <w:pPr>
        <w:pStyle w:val="EC-Title-6"/>
        <w:rPr>
          <w:rFonts w:eastAsia="Arial Unicode MS"/>
          <w:b w:val="0"/>
          <w:bCs w:val="0"/>
          <w:color w:val="auto"/>
          <w:kern w:val="22"/>
          <w:sz w:val="18"/>
          <w:szCs w:val="18"/>
        </w:rPr>
      </w:pPr>
      <w:bookmarkStart w:id="49" w:name="_Toc175577696"/>
      <w:r>
        <w:rPr>
          <w:rFonts w:eastAsia="Arial Unicode MS"/>
          <w:b w:val="0"/>
          <w:bCs w:val="0"/>
          <w:color w:val="auto"/>
          <w:kern w:val="22"/>
          <w:sz w:val="18"/>
          <w:szCs w:val="18"/>
        </w:rPr>
        <w:t>Symbols used in the Surveillance Atlas:</w:t>
      </w:r>
      <w:bookmarkEnd w:id="49"/>
      <w:r>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415D40" w14:paraId="76F0B3E0" w14:textId="77777777" w:rsidTr="00415D40">
        <w:tc>
          <w:tcPr>
            <w:tcW w:w="1101" w:type="dxa"/>
            <w:tcBorders>
              <w:top w:val="single" w:sz="4" w:space="0" w:color="000000"/>
              <w:left w:val="single" w:sz="4" w:space="0" w:color="000000"/>
              <w:bottom w:val="single" w:sz="4" w:space="0" w:color="000000"/>
              <w:right w:val="single" w:sz="4" w:space="0" w:color="000000"/>
            </w:tcBorders>
            <w:hideMark/>
          </w:tcPr>
          <w:p w14:paraId="0CB342CC" w14:textId="77777777" w:rsidR="00415D40" w:rsidRDefault="00415D40" w:rsidP="00415D40">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54164F65" w14:textId="77777777" w:rsidR="00415D40" w:rsidRDefault="00415D40" w:rsidP="00415D40">
            <w:pPr>
              <w:pStyle w:val="EC-Para"/>
              <w:rPr>
                <w:lang w:eastAsia="en-US"/>
              </w:rPr>
            </w:pPr>
            <w:r>
              <w:rPr>
                <w:lang w:eastAsia="en-US"/>
              </w:rPr>
              <w:t>Comment</w:t>
            </w:r>
          </w:p>
        </w:tc>
      </w:tr>
      <w:tr w:rsidR="00415D40" w14:paraId="7E651503" w14:textId="77777777" w:rsidTr="00415D40">
        <w:tc>
          <w:tcPr>
            <w:tcW w:w="1101" w:type="dxa"/>
            <w:tcBorders>
              <w:top w:val="single" w:sz="4" w:space="0" w:color="000000"/>
              <w:left w:val="single" w:sz="4" w:space="0" w:color="000000"/>
              <w:bottom w:val="single" w:sz="4" w:space="0" w:color="000000"/>
              <w:right w:val="single" w:sz="4" w:space="0" w:color="000000"/>
            </w:tcBorders>
            <w:hideMark/>
          </w:tcPr>
          <w:p w14:paraId="0B317E95" w14:textId="77777777" w:rsidR="00415D40" w:rsidRDefault="00415D40" w:rsidP="00415D4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04D1C451" w14:textId="77777777" w:rsidR="00415D40" w:rsidRDefault="00415D40" w:rsidP="00415D40">
            <w:pPr>
              <w:pStyle w:val="EC-Para"/>
              <w:rPr>
                <w:lang w:eastAsia="en-US"/>
              </w:rPr>
            </w:pPr>
            <w:r>
              <w:rPr>
                <w:lang w:eastAsia="en-US"/>
              </w:rPr>
              <w:t>Indicator is not calculated for a given</w:t>
            </w:r>
            <w:r w:rsidDel="00195D81">
              <w:rPr>
                <w:lang w:eastAsia="en-US"/>
              </w:rPr>
              <w:t xml:space="preserve"> </w:t>
            </w:r>
            <w:r>
              <w:rPr>
                <w:lang w:eastAsia="en-US"/>
              </w:rPr>
              <w:t xml:space="preserve">geographical resolution and </w:t>
            </w:r>
            <w:proofErr w:type="gramStart"/>
            <w:r>
              <w:rPr>
                <w:lang w:eastAsia="en-US"/>
              </w:rPr>
              <w:t>time period</w:t>
            </w:r>
            <w:proofErr w:type="gramEnd"/>
            <w:r>
              <w:rPr>
                <w:lang w:eastAsia="en-US"/>
              </w:rPr>
              <w:t>.</w:t>
            </w:r>
          </w:p>
        </w:tc>
      </w:tr>
      <w:tr w:rsidR="00415D40" w14:paraId="4C51155B" w14:textId="77777777" w:rsidTr="00415D40">
        <w:tc>
          <w:tcPr>
            <w:tcW w:w="1101" w:type="dxa"/>
            <w:tcBorders>
              <w:top w:val="single" w:sz="4" w:space="0" w:color="000000"/>
              <w:left w:val="single" w:sz="4" w:space="0" w:color="000000"/>
              <w:bottom w:val="single" w:sz="4" w:space="0" w:color="000000"/>
              <w:right w:val="single" w:sz="4" w:space="0" w:color="000000"/>
            </w:tcBorders>
            <w:hideMark/>
          </w:tcPr>
          <w:p w14:paraId="06E42022" w14:textId="77777777" w:rsidR="00415D40" w:rsidRDefault="00415D40" w:rsidP="00415D4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78B17E8E" w14:textId="77777777" w:rsidR="00415D40" w:rsidRDefault="00415D40" w:rsidP="00415D4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w:t>
            </w:r>
            <w:r w:rsidDel="00195D81">
              <w:rPr>
                <w:lang w:eastAsia="en-US"/>
              </w:rPr>
              <w:t xml:space="preserve"> </w:t>
            </w:r>
            <w:proofErr w:type="gramStart"/>
            <w:r>
              <w:rPr>
                <w:lang w:eastAsia="en-US"/>
              </w:rPr>
              <w:t>time period</w:t>
            </w:r>
            <w:proofErr w:type="gramEnd"/>
            <w:r>
              <w:rPr>
                <w:lang w:eastAsia="en-US"/>
              </w:rPr>
              <w:t>.</w:t>
            </w:r>
          </w:p>
        </w:tc>
      </w:tr>
    </w:tbl>
    <w:p w14:paraId="5DAD22FE" w14:textId="77777777" w:rsidR="00415D40" w:rsidRDefault="00415D40" w:rsidP="00415D40">
      <w:pPr>
        <w:pStyle w:val="EC-Para"/>
        <w:rPr>
          <w:lang w:eastAsia="en-US"/>
        </w:rPr>
      </w:pPr>
    </w:p>
    <w:p w14:paraId="5624496E" w14:textId="77777777" w:rsidR="00415D40" w:rsidRPr="0072746F" w:rsidRDefault="00415D40" w:rsidP="00415D40">
      <w:pPr>
        <w:pStyle w:val="EC-Title-6"/>
        <w:rPr>
          <w:rFonts w:cs="Tahoma"/>
          <w:b w:val="0"/>
        </w:rPr>
      </w:pPr>
      <w:bookmarkStart w:id="50" w:name="_Toc175577697"/>
      <w:r w:rsidRPr="0072746F">
        <w:rPr>
          <w:rFonts w:cs="Tahoma"/>
          <w:b w:val="0"/>
        </w:rPr>
        <w:t>Data quality</w:t>
      </w:r>
      <w:bookmarkEnd w:id="50"/>
    </w:p>
    <w:p w14:paraId="4921F506" w14:textId="3091229F" w:rsidR="00415D40" w:rsidRPr="00D2076E" w:rsidRDefault="00415D40" w:rsidP="00415D40">
      <w:pPr>
        <w:shd w:val="clear" w:color="auto" w:fill="FFFFFF"/>
        <w:jc w:val="both"/>
        <w:rPr>
          <w:rFonts w:eastAsia="Times New Roman" w:cs="Tahoma"/>
          <w:szCs w:val="14"/>
          <w:lang w:eastAsia="en-GB"/>
        </w:rPr>
      </w:pPr>
      <w:r w:rsidRPr="00D2076E">
        <w:rPr>
          <w:rFonts w:eastAsia="Times New Roman" w:cs="Tahoma"/>
          <w:sz w:val="18"/>
          <w:szCs w:val="18"/>
          <w:lang w:eastAsia="en-GB"/>
        </w:rPr>
        <w:t xml:space="preserve">The Surveillance Atlas indicators were calculated up to the end of </w:t>
      </w:r>
      <w:r w:rsidR="000D37D6">
        <w:rPr>
          <w:rFonts w:eastAsia="Times New Roman" w:cs="Tahoma"/>
          <w:sz w:val="18"/>
          <w:szCs w:val="18"/>
          <w:lang w:eastAsia="en-GB"/>
        </w:rPr>
        <w:t>2023</w:t>
      </w:r>
      <w:r w:rsidRPr="00D2076E">
        <w:rPr>
          <w:rFonts w:eastAsia="Times New Roman" w:cs="Tahoma"/>
          <w:sz w:val="18"/>
          <w:szCs w:val="18"/>
          <w:lang w:eastAsia="en-GB"/>
        </w:rPr>
        <w:t xml:space="preserve">.  EU/EEA countries reporting data on </w:t>
      </w:r>
      <w:r w:rsidR="006F18E3">
        <w:rPr>
          <w:rFonts w:eastAsia="Times New Roman" w:cs="Tahoma"/>
          <w:iCs/>
          <w:sz w:val="18"/>
          <w:szCs w:val="18"/>
          <w:lang w:eastAsia="en-GB"/>
        </w:rPr>
        <w:t>l</w:t>
      </w:r>
      <w:r w:rsidRPr="00DE08FD">
        <w:rPr>
          <w:rFonts w:eastAsia="Times New Roman" w:cs="Tahoma"/>
          <w:iCs/>
          <w:sz w:val="18"/>
          <w:szCs w:val="18"/>
          <w:lang w:eastAsia="en-GB"/>
        </w:rPr>
        <w:t>ymphogranuloma venereum</w:t>
      </w:r>
      <w:r w:rsidRPr="00D2076E">
        <w:rPr>
          <w:rFonts w:eastAsia="Times New Roman" w:cs="Tahoma"/>
          <w:sz w:val="18"/>
          <w:szCs w:val="18"/>
          <w:lang w:eastAsia="en-GB"/>
        </w:rPr>
        <w:t xml:space="preserve"> infection are displayed in </w:t>
      </w:r>
      <w:r w:rsidR="004D2C32">
        <w:rPr>
          <w:rFonts w:eastAsia="Times New Roman" w:cs="Tahoma"/>
          <w:sz w:val="18"/>
          <w:szCs w:val="18"/>
          <w:lang w:eastAsia="en-GB"/>
        </w:rPr>
        <w:t>t</w:t>
      </w:r>
      <w:r w:rsidR="00776D29">
        <w:rPr>
          <w:rFonts w:eastAsia="Times New Roman" w:cs="Tahoma"/>
          <w:sz w:val="18"/>
          <w:szCs w:val="18"/>
          <w:lang w:eastAsia="en-GB"/>
        </w:rPr>
        <w:t xml:space="preserve">he </w:t>
      </w:r>
      <w:r w:rsidR="004D2C32">
        <w:rPr>
          <w:rFonts w:eastAsia="Times New Roman" w:cs="Tahoma"/>
          <w:sz w:val="18"/>
          <w:szCs w:val="18"/>
          <w:lang w:eastAsia="en-GB"/>
        </w:rPr>
        <w:t>t</w:t>
      </w:r>
      <w:r w:rsidR="00776D29">
        <w:rPr>
          <w:rFonts w:eastAsia="Times New Roman" w:cs="Tahoma"/>
          <w:sz w:val="18"/>
          <w:szCs w:val="18"/>
          <w:lang w:eastAsia="en-GB"/>
        </w:rPr>
        <w:t>able below</w:t>
      </w:r>
      <w:r w:rsidRPr="00D2076E">
        <w:rPr>
          <w:rFonts w:eastAsia="Times New Roman" w:cs="Tahoma"/>
          <w:sz w:val="18"/>
          <w:szCs w:val="18"/>
          <w:lang w:eastAsia="en-GB"/>
        </w:rPr>
        <w:t>. For data quality, reporting completeness of variables used to calculate Surveillance Atlas indicators was analysed for reported, confirmed cases.  For countries reporting data only in aggregated format, the analysis of data completeness is allowed only for data reported such as age and gender.</w:t>
      </w:r>
    </w:p>
    <w:p w14:paraId="36C1CEE2" w14:textId="77777777" w:rsidR="00415D40" w:rsidRPr="00524967" w:rsidRDefault="00415D40" w:rsidP="00415D40">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w:t>
      </w:r>
    </w:p>
    <w:p w14:paraId="442A7690" w14:textId="77777777" w:rsidR="00415D40" w:rsidRPr="00524967" w:rsidRDefault="00415D40" w:rsidP="00415D40">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xml:space="preserve">The Surveillance Atlas indicators for data quality of confirmed </w:t>
      </w:r>
      <w:r w:rsidRPr="004660C8">
        <w:rPr>
          <w:rFonts w:eastAsia="Times New Roman" w:cs="Tahoma"/>
          <w:i/>
          <w:color w:val="333333"/>
          <w:sz w:val="18"/>
          <w:szCs w:val="18"/>
          <w:lang w:eastAsia="en-GB"/>
        </w:rPr>
        <w:t>Lymphogranuloma venereum</w:t>
      </w:r>
      <w:r w:rsidRPr="00524967">
        <w:rPr>
          <w:rFonts w:eastAsia="Times New Roman" w:cs="Tahoma"/>
          <w:color w:val="333333"/>
          <w:sz w:val="18"/>
          <w:szCs w:val="18"/>
          <w:lang w:eastAsia="en-GB"/>
        </w:rPr>
        <w:t xml:space="preserve"> cases are:</w:t>
      </w:r>
    </w:p>
    <w:p w14:paraId="2C135093" w14:textId="77777777" w:rsidR="00415D40" w:rsidRPr="004660C8" w:rsidRDefault="00415D40" w:rsidP="00415D40">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age (%</w:t>
      </w:r>
      <w:proofErr w:type="gramStart"/>
      <w:r w:rsidRPr="004660C8">
        <w:rPr>
          <w:rFonts w:cs="Tahoma"/>
          <w:sz w:val="18"/>
          <w:szCs w:val="18"/>
          <w:lang w:eastAsia="en-GB"/>
        </w:rPr>
        <w:t>);</w:t>
      </w:r>
      <w:proofErr w:type="gramEnd"/>
    </w:p>
    <w:p w14:paraId="7C06DE35" w14:textId="77777777" w:rsidR="00415D40" w:rsidRPr="004660C8" w:rsidRDefault="00415D40" w:rsidP="00415D40">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gender (%</w:t>
      </w:r>
      <w:proofErr w:type="gramStart"/>
      <w:r w:rsidRPr="004660C8">
        <w:rPr>
          <w:rFonts w:cs="Tahoma"/>
          <w:sz w:val="18"/>
          <w:szCs w:val="18"/>
          <w:lang w:eastAsia="en-GB"/>
        </w:rPr>
        <w:t>);</w:t>
      </w:r>
      <w:proofErr w:type="gramEnd"/>
    </w:p>
    <w:p w14:paraId="2E878A0C" w14:textId="77777777" w:rsidR="00415D40" w:rsidRPr="004660C8" w:rsidRDefault="00415D40" w:rsidP="00415D40">
      <w:pPr>
        <w:pStyle w:val="ListParagraph"/>
        <w:numPr>
          <w:ilvl w:val="0"/>
          <w:numId w:val="8"/>
        </w:numPr>
        <w:shd w:val="clear" w:color="auto" w:fill="FFFFFF"/>
        <w:spacing w:line="264" w:lineRule="atLeast"/>
        <w:jc w:val="both"/>
        <w:rPr>
          <w:rFonts w:cs="Tahoma"/>
          <w:lang w:eastAsia="en-GB"/>
        </w:rPr>
      </w:pPr>
      <w:r w:rsidRPr="008C5377">
        <w:rPr>
          <w:rFonts w:cs="Tahoma"/>
          <w:sz w:val="18"/>
          <w:szCs w:val="18"/>
          <w:lang w:eastAsia="en-GB"/>
        </w:rPr>
        <w:t xml:space="preserve">Completeness </w:t>
      </w:r>
      <w:r>
        <w:rPr>
          <w:rFonts w:cs="Tahoma"/>
          <w:sz w:val="18"/>
          <w:szCs w:val="18"/>
          <w:lang w:eastAsia="en-GB"/>
        </w:rPr>
        <w:t>transmission (%</w:t>
      </w:r>
      <w:proofErr w:type="gramStart"/>
      <w:r>
        <w:rPr>
          <w:rFonts w:cs="Tahoma"/>
          <w:sz w:val="18"/>
          <w:szCs w:val="18"/>
          <w:lang w:eastAsia="en-GB"/>
        </w:rPr>
        <w:t>);</w:t>
      </w:r>
      <w:proofErr w:type="gramEnd"/>
    </w:p>
    <w:p w14:paraId="20C7AC54" w14:textId="77777777" w:rsidR="00415D40" w:rsidRPr="004660C8" w:rsidRDefault="00415D40" w:rsidP="00415D40">
      <w:pPr>
        <w:pStyle w:val="ListParagraph"/>
        <w:numPr>
          <w:ilvl w:val="0"/>
          <w:numId w:val="8"/>
        </w:numPr>
        <w:shd w:val="clear" w:color="auto" w:fill="FFFFFF"/>
        <w:spacing w:line="264" w:lineRule="atLeast"/>
        <w:jc w:val="both"/>
        <w:rPr>
          <w:rFonts w:cs="Tahoma"/>
          <w:lang w:eastAsia="en-GB"/>
        </w:rPr>
      </w:pPr>
      <w:r>
        <w:rPr>
          <w:rFonts w:cs="Tahoma"/>
          <w:sz w:val="18"/>
          <w:szCs w:val="18"/>
          <w:lang w:eastAsia="en-GB"/>
        </w:rPr>
        <w:t>Completeness HIV status (%).</w:t>
      </w:r>
    </w:p>
    <w:p w14:paraId="272ACE4F" w14:textId="77777777" w:rsidR="00415D40" w:rsidRPr="00E45D73" w:rsidRDefault="00415D40" w:rsidP="00415D40">
      <w:pPr>
        <w:pStyle w:val="EC-Title-6"/>
      </w:pPr>
      <w:bookmarkStart w:id="51" w:name="_Toc175577698"/>
      <w:r w:rsidRPr="00E45D73">
        <w:t>Interpretation</w:t>
      </w:r>
      <w:bookmarkEnd w:id="51"/>
      <w:r w:rsidRPr="00E45D73">
        <w:t xml:space="preserve"> </w:t>
      </w:r>
    </w:p>
    <w:p w14:paraId="30398497" w14:textId="090D8B35" w:rsidR="00415D40" w:rsidRDefault="00415D40" w:rsidP="00415D40">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 xml:space="preserve">The results shown in the Atlas </w:t>
      </w:r>
      <w:r w:rsidRPr="006B2F19">
        <w:rPr>
          <w:rFonts w:eastAsia="Arial Unicode MS" w:cs="Tahoma"/>
          <w:kern w:val="22"/>
          <w:sz w:val="18"/>
          <w:szCs w:val="18"/>
        </w:rPr>
        <w:t xml:space="preserve">should be interpreted with caution and </w:t>
      </w:r>
      <w:proofErr w:type="gramStart"/>
      <w:r w:rsidRPr="006B2F19">
        <w:rPr>
          <w:rFonts w:eastAsia="Arial Unicode MS" w:cs="Tahoma"/>
          <w:kern w:val="22"/>
          <w:sz w:val="18"/>
          <w:szCs w:val="18"/>
        </w:rPr>
        <w:t>taking into account</w:t>
      </w:r>
      <w:proofErr w:type="gramEnd"/>
      <w:r w:rsidRPr="006B2F19">
        <w:rPr>
          <w:rFonts w:eastAsia="Arial Unicode MS" w:cs="Tahoma"/>
          <w:kern w:val="22"/>
          <w:sz w:val="18"/>
          <w:szCs w:val="18"/>
        </w:rPr>
        <w:t xml:space="preserve"> data quality issues and differences </w:t>
      </w:r>
      <w:r>
        <w:rPr>
          <w:rFonts w:eastAsia="Arial Unicode MS" w:cs="Tahoma"/>
          <w:kern w:val="22"/>
          <w:sz w:val="18"/>
          <w:szCs w:val="18"/>
        </w:rPr>
        <w:t>between</w:t>
      </w:r>
      <w:r w:rsidRPr="006B2F19">
        <w:rPr>
          <w:rFonts w:eastAsia="Arial Unicode MS" w:cs="Tahoma"/>
          <w:kern w:val="22"/>
          <w:sz w:val="18"/>
          <w:szCs w:val="18"/>
        </w:rPr>
        <w:t xml:space="preserve"> Member State surveillance systems. </w:t>
      </w:r>
      <w:proofErr w:type="gramStart"/>
      <w:r>
        <w:rPr>
          <w:rFonts w:eastAsia="Arial Unicode MS" w:cs="Tahoma"/>
          <w:kern w:val="22"/>
          <w:sz w:val="18"/>
          <w:szCs w:val="18"/>
        </w:rPr>
        <w:t>P</w:t>
      </w:r>
      <w:r w:rsidRPr="006B2F19">
        <w:rPr>
          <w:rFonts w:eastAsia="Arial Unicode MS" w:cs="Tahoma"/>
          <w:kern w:val="22"/>
          <w:sz w:val="18"/>
          <w:szCs w:val="18"/>
        </w:rPr>
        <w:t>articular caution</w:t>
      </w:r>
      <w:proofErr w:type="gramEnd"/>
      <w:r w:rsidRPr="006B2F19">
        <w:rPr>
          <w:rFonts w:eastAsia="Arial Unicode MS" w:cs="Tahoma"/>
          <w:kern w:val="22"/>
          <w:sz w:val="18"/>
          <w:szCs w:val="18"/>
        </w:rPr>
        <w:t xml:space="preserve"> is required </w:t>
      </w:r>
      <w:r>
        <w:rPr>
          <w:rFonts w:eastAsia="Arial Unicode MS" w:cs="Tahoma"/>
          <w:kern w:val="22"/>
          <w:sz w:val="18"/>
          <w:szCs w:val="18"/>
        </w:rPr>
        <w:t xml:space="preserve">when completeness is rather low or varies between countries. LGV surveillance data depend heavily on availability of diagnostics and diagnostic pathways used and these vary across countries. In addition, </w:t>
      </w:r>
      <w:r w:rsidRPr="006B2F19">
        <w:rPr>
          <w:rFonts w:eastAsia="Arial Unicode MS" w:cs="Tahoma"/>
          <w:kern w:val="22"/>
          <w:sz w:val="18"/>
          <w:szCs w:val="18"/>
        </w:rPr>
        <w:t xml:space="preserve">under-reporting </w:t>
      </w:r>
      <w:r>
        <w:rPr>
          <w:rFonts w:eastAsia="Arial Unicode MS" w:cs="Tahoma"/>
          <w:kern w:val="22"/>
          <w:sz w:val="18"/>
          <w:szCs w:val="18"/>
        </w:rPr>
        <w:t>may</w:t>
      </w:r>
      <w:r w:rsidRPr="006B2F19">
        <w:rPr>
          <w:rFonts w:eastAsia="Arial Unicode MS" w:cs="Tahoma"/>
          <w:kern w:val="22"/>
          <w:sz w:val="18"/>
          <w:szCs w:val="18"/>
        </w:rPr>
        <w:t xml:space="preserve"> differ between countries depending on the characteristics of their surveillance systems. </w:t>
      </w:r>
      <w:r w:rsidR="00DE08FD" w:rsidRPr="00DE08FD">
        <w:rPr>
          <w:rFonts w:eastAsia="Arial Unicode MS" w:cs="Tahoma"/>
          <w:kern w:val="22"/>
          <w:sz w:val="18"/>
          <w:szCs w:val="18"/>
        </w:rPr>
        <w:t xml:space="preserve">Hence, any direct comparisons between countries without taking into account these limitations in the data </w:t>
      </w:r>
      <w:proofErr w:type="gramStart"/>
      <w:r w:rsidR="00DE08FD" w:rsidRPr="00DE08FD">
        <w:rPr>
          <w:rFonts w:eastAsia="Arial Unicode MS" w:cs="Tahoma"/>
          <w:kern w:val="22"/>
          <w:sz w:val="18"/>
          <w:szCs w:val="18"/>
        </w:rPr>
        <w:t>is</w:t>
      </w:r>
      <w:proofErr w:type="gramEnd"/>
      <w:r w:rsidR="00DE08FD" w:rsidRPr="00DE08FD">
        <w:rPr>
          <w:rFonts w:eastAsia="Arial Unicode MS" w:cs="Tahoma"/>
          <w:kern w:val="22"/>
          <w:sz w:val="18"/>
          <w:szCs w:val="18"/>
        </w:rPr>
        <w:t xml:space="preserve"> not advisable.</w:t>
      </w:r>
    </w:p>
    <w:p w14:paraId="6CD2A43F" w14:textId="42DB16A1" w:rsidR="006F18E3" w:rsidRDefault="00677F61" w:rsidP="00415D40">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Since</w:t>
      </w:r>
      <w:r w:rsidR="006F18E3" w:rsidRPr="006F18E3">
        <w:rPr>
          <w:rFonts w:eastAsia="Arial Unicode MS" w:cs="Tahoma"/>
          <w:kern w:val="22"/>
          <w:sz w:val="18"/>
          <w:szCs w:val="18"/>
        </w:rPr>
        <w:t xml:space="preserve"> 2020 no data were reported by the United Kingdom (UK) due to its withdrawal from the EU on 1 February 2020. As the UK contributed a large proportion of reported cases in previous years, this led to a large, art</w:t>
      </w:r>
      <w:r w:rsidR="00FA6922">
        <w:rPr>
          <w:rFonts w:eastAsia="Arial Unicode MS" w:cs="Tahoma"/>
          <w:kern w:val="22"/>
          <w:sz w:val="18"/>
          <w:szCs w:val="18"/>
        </w:rPr>
        <w:t>efactual</w:t>
      </w:r>
      <w:r w:rsidR="006F18E3" w:rsidRPr="006F18E3">
        <w:rPr>
          <w:rFonts w:eastAsia="Arial Unicode MS" w:cs="Tahoma"/>
          <w:kern w:val="22"/>
          <w:sz w:val="18"/>
          <w:szCs w:val="18"/>
        </w:rPr>
        <w:t xml:space="preserve"> decrease in the number of cases and rates at EU/EEA-level </w:t>
      </w:r>
      <w:r w:rsidR="00997A3B">
        <w:rPr>
          <w:rFonts w:eastAsia="Arial Unicode MS" w:cs="Tahoma"/>
          <w:kern w:val="22"/>
          <w:sz w:val="18"/>
          <w:szCs w:val="18"/>
        </w:rPr>
        <w:t>since</w:t>
      </w:r>
      <w:r w:rsidR="006F18E3" w:rsidRPr="006F18E3">
        <w:rPr>
          <w:rFonts w:eastAsia="Arial Unicode MS" w:cs="Tahoma"/>
          <w:kern w:val="22"/>
          <w:sz w:val="18"/>
          <w:szCs w:val="18"/>
        </w:rPr>
        <w:t xml:space="preserve"> 2020</w:t>
      </w:r>
      <w:r w:rsidR="00997A3B">
        <w:rPr>
          <w:rFonts w:eastAsia="Arial Unicode MS" w:cs="Tahoma"/>
          <w:kern w:val="22"/>
          <w:sz w:val="18"/>
          <w:szCs w:val="18"/>
        </w:rPr>
        <w:t xml:space="preserve"> compared to the years before</w:t>
      </w:r>
      <w:r w:rsidR="008F128C">
        <w:rPr>
          <w:rFonts w:eastAsia="Arial Unicode MS" w:cs="Tahoma"/>
          <w:kern w:val="22"/>
          <w:sz w:val="18"/>
          <w:szCs w:val="18"/>
        </w:rPr>
        <w:t xml:space="preserve"> </w:t>
      </w:r>
    </w:p>
    <w:p w14:paraId="40C2D872" w14:textId="02622884" w:rsidR="00282E74" w:rsidRDefault="00C13FDF" w:rsidP="00415D40">
      <w:pPr>
        <w:kinsoku w:val="0"/>
        <w:autoSpaceDE w:val="0"/>
        <w:autoSpaceDN w:val="0"/>
        <w:adjustRightInd w:val="0"/>
        <w:spacing w:after="120" w:line="200" w:lineRule="atLeast"/>
        <w:jc w:val="both"/>
        <w:rPr>
          <w:rFonts w:eastAsia="Arial Unicode MS" w:cs="Tahoma"/>
          <w:kern w:val="22"/>
          <w:sz w:val="18"/>
          <w:szCs w:val="18"/>
        </w:rPr>
      </w:pPr>
      <w:r>
        <w:rPr>
          <w:rFonts w:eastAsia="Arial Unicode MS" w:cs="Tahoma"/>
          <w:kern w:val="22"/>
          <w:sz w:val="18"/>
          <w:szCs w:val="18"/>
        </w:rPr>
        <w:t xml:space="preserve">In </w:t>
      </w:r>
      <w:r w:rsidR="002E46F8">
        <w:rPr>
          <w:rFonts w:eastAsia="Arial Unicode MS" w:cs="Tahoma"/>
          <w:kern w:val="22"/>
          <w:sz w:val="18"/>
          <w:szCs w:val="18"/>
        </w:rPr>
        <w:t xml:space="preserve">France </w:t>
      </w:r>
      <w:r>
        <w:rPr>
          <w:rFonts w:eastAsia="Arial Unicode MS" w:cs="Tahoma"/>
          <w:kern w:val="22"/>
          <w:sz w:val="18"/>
          <w:szCs w:val="18"/>
        </w:rPr>
        <w:t xml:space="preserve">the surveillance system </w:t>
      </w:r>
      <w:r w:rsidR="00DE5D7C">
        <w:rPr>
          <w:rFonts w:eastAsia="Arial Unicode MS" w:cs="Tahoma"/>
          <w:kern w:val="22"/>
          <w:sz w:val="18"/>
          <w:szCs w:val="18"/>
        </w:rPr>
        <w:t xml:space="preserve">for LGV </w:t>
      </w:r>
      <w:r>
        <w:rPr>
          <w:rFonts w:eastAsia="Arial Unicode MS" w:cs="Tahoma"/>
          <w:kern w:val="22"/>
          <w:sz w:val="18"/>
          <w:szCs w:val="18"/>
        </w:rPr>
        <w:t xml:space="preserve">has changed </w:t>
      </w:r>
      <w:r w:rsidR="00DE5D7C">
        <w:rPr>
          <w:rFonts w:eastAsia="Arial Unicode MS" w:cs="Tahoma"/>
          <w:kern w:val="22"/>
          <w:sz w:val="18"/>
          <w:szCs w:val="18"/>
        </w:rPr>
        <w:t>in 2020</w:t>
      </w:r>
      <w:r w:rsidR="005E088A">
        <w:rPr>
          <w:rFonts w:eastAsia="Arial Unicode MS" w:cs="Tahoma"/>
          <w:kern w:val="22"/>
          <w:sz w:val="18"/>
          <w:szCs w:val="18"/>
        </w:rPr>
        <w:t xml:space="preserve"> </w:t>
      </w:r>
      <w:r w:rsidR="00A924BE">
        <w:rPr>
          <w:rFonts w:eastAsia="Arial Unicode MS" w:cs="Tahoma"/>
          <w:kern w:val="22"/>
          <w:sz w:val="18"/>
          <w:szCs w:val="18"/>
        </w:rPr>
        <w:t xml:space="preserve">resulting in </w:t>
      </w:r>
      <w:r w:rsidR="008C48D6">
        <w:rPr>
          <w:rFonts w:eastAsia="Arial Unicode MS" w:cs="Tahoma"/>
          <w:kern w:val="22"/>
          <w:sz w:val="18"/>
          <w:szCs w:val="18"/>
        </w:rPr>
        <w:t xml:space="preserve">a lower number of </w:t>
      </w:r>
      <w:r w:rsidR="00F22366">
        <w:rPr>
          <w:rFonts w:eastAsia="Arial Unicode MS" w:cs="Tahoma"/>
          <w:kern w:val="22"/>
          <w:sz w:val="18"/>
          <w:szCs w:val="18"/>
        </w:rPr>
        <w:t>reported</w:t>
      </w:r>
      <w:r w:rsidR="008C48D6">
        <w:rPr>
          <w:rFonts w:eastAsia="Arial Unicode MS" w:cs="Tahoma"/>
          <w:kern w:val="22"/>
          <w:sz w:val="18"/>
          <w:szCs w:val="18"/>
        </w:rPr>
        <w:t xml:space="preserve"> cases</w:t>
      </w:r>
      <w:r w:rsidR="00904CEC">
        <w:rPr>
          <w:rFonts w:eastAsia="Arial Unicode MS" w:cs="Tahoma"/>
          <w:kern w:val="22"/>
          <w:sz w:val="18"/>
          <w:szCs w:val="18"/>
        </w:rPr>
        <w:t xml:space="preserve"> </w:t>
      </w:r>
      <w:proofErr w:type="gramStart"/>
      <w:r w:rsidR="00904CEC">
        <w:rPr>
          <w:rFonts w:eastAsia="Arial Unicode MS" w:cs="Tahoma"/>
          <w:kern w:val="22"/>
          <w:sz w:val="18"/>
          <w:szCs w:val="18"/>
        </w:rPr>
        <w:t xml:space="preserve">and </w:t>
      </w:r>
      <w:r w:rsidR="00371819">
        <w:rPr>
          <w:rFonts w:eastAsia="Arial Unicode MS" w:cs="Tahoma"/>
          <w:kern w:val="22"/>
          <w:sz w:val="18"/>
          <w:szCs w:val="18"/>
        </w:rPr>
        <w:t xml:space="preserve"> thus</w:t>
      </w:r>
      <w:proofErr w:type="gramEnd"/>
      <w:r w:rsidR="00371819">
        <w:rPr>
          <w:rFonts w:eastAsia="Arial Unicode MS" w:cs="Tahoma"/>
          <w:kern w:val="22"/>
          <w:sz w:val="18"/>
          <w:szCs w:val="18"/>
        </w:rPr>
        <w:t xml:space="preserve"> </w:t>
      </w:r>
      <w:r w:rsidR="003B59D3">
        <w:rPr>
          <w:rFonts w:eastAsia="Arial Unicode MS" w:cs="Tahoma"/>
          <w:kern w:val="22"/>
          <w:sz w:val="18"/>
          <w:szCs w:val="18"/>
        </w:rPr>
        <w:t>data</w:t>
      </w:r>
      <w:r w:rsidR="00A924BE">
        <w:rPr>
          <w:rFonts w:eastAsia="Arial Unicode MS" w:cs="Tahoma"/>
          <w:kern w:val="22"/>
          <w:sz w:val="18"/>
          <w:szCs w:val="18"/>
        </w:rPr>
        <w:t xml:space="preserve"> fr</w:t>
      </w:r>
      <w:r w:rsidR="007B0E51">
        <w:rPr>
          <w:rFonts w:eastAsia="Arial Unicode MS" w:cs="Tahoma"/>
          <w:kern w:val="22"/>
          <w:sz w:val="18"/>
          <w:szCs w:val="18"/>
        </w:rPr>
        <w:t>om</w:t>
      </w:r>
      <w:r w:rsidR="00A924BE">
        <w:rPr>
          <w:rFonts w:eastAsia="Arial Unicode MS" w:cs="Tahoma"/>
          <w:kern w:val="22"/>
          <w:sz w:val="18"/>
          <w:szCs w:val="18"/>
        </w:rPr>
        <w:t xml:space="preserve"> </w:t>
      </w:r>
      <w:r w:rsidR="000F6A8B">
        <w:rPr>
          <w:rFonts w:eastAsia="Arial Unicode MS" w:cs="Tahoma"/>
          <w:kern w:val="22"/>
          <w:sz w:val="18"/>
          <w:szCs w:val="18"/>
        </w:rPr>
        <w:t>202</w:t>
      </w:r>
      <w:r w:rsidR="003D4C75">
        <w:rPr>
          <w:rFonts w:eastAsia="Arial Unicode MS" w:cs="Tahoma"/>
          <w:kern w:val="22"/>
          <w:sz w:val="18"/>
          <w:szCs w:val="18"/>
        </w:rPr>
        <w:t xml:space="preserve">0 </w:t>
      </w:r>
      <w:r w:rsidR="007B0E51">
        <w:rPr>
          <w:rFonts w:eastAsia="Arial Unicode MS" w:cs="Tahoma"/>
          <w:kern w:val="22"/>
          <w:sz w:val="18"/>
          <w:szCs w:val="18"/>
        </w:rPr>
        <w:t xml:space="preserve">onwards </w:t>
      </w:r>
      <w:r w:rsidR="00142786">
        <w:rPr>
          <w:rFonts w:eastAsia="Arial Unicode MS" w:cs="Tahoma"/>
          <w:kern w:val="22"/>
          <w:sz w:val="18"/>
          <w:szCs w:val="18"/>
        </w:rPr>
        <w:t>should</w:t>
      </w:r>
      <w:r w:rsidR="00A924BE">
        <w:rPr>
          <w:rFonts w:eastAsia="Arial Unicode MS" w:cs="Tahoma"/>
          <w:kern w:val="22"/>
          <w:sz w:val="18"/>
          <w:szCs w:val="18"/>
        </w:rPr>
        <w:t xml:space="preserve"> not be </w:t>
      </w:r>
      <w:r w:rsidR="003C6AFB">
        <w:rPr>
          <w:rFonts w:eastAsia="Arial Unicode MS" w:cs="Tahoma"/>
          <w:kern w:val="22"/>
          <w:sz w:val="18"/>
          <w:szCs w:val="18"/>
        </w:rPr>
        <w:t xml:space="preserve">compared </w:t>
      </w:r>
      <w:r w:rsidR="00A924BE">
        <w:rPr>
          <w:rFonts w:eastAsia="Arial Unicode MS" w:cs="Tahoma"/>
          <w:kern w:val="22"/>
          <w:sz w:val="18"/>
          <w:szCs w:val="18"/>
        </w:rPr>
        <w:t>with</w:t>
      </w:r>
      <w:r w:rsidR="003C6AFB">
        <w:rPr>
          <w:rFonts w:eastAsia="Arial Unicode MS" w:cs="Tahoma"/>
          <w:kern w:val="22"/>
          <w:sz w:val="18"/>
          <w:szCs w:val="18"/>
        </w:rPr>
        <w:t xml:space="preserve"> </w:t>
      </w:r>
      <w:r w:rsidR="00142786">
        <w:rPr>
          <w:rFonts w:eastAsia="Arial Unicode MS" w:cs="Tahoma"/>
          <w:kern w:val="22"/>
          <w:sz w:val="18"/>
          <w:szCs w:val="18"/>
        </w:rPr>
        <w:t xml:space="preserve">data </w:t>
      </w:r>
      <w:r w:rsidR="006F1677">
        <w:rPr>
          <w:rFonts w:eastAsia="Arial Unicode MS" w:cs="Tahoma"/>
          <w:kern w:val="22"/>
          <w:sz w:val="18"/>
          <w:szCs w:val="18"/>
        </w:rPr>
        <w:t>from</w:t>
      </w:r>
      <w:r w:rsidR="00A924BE">
        <w:rPr>
          <w:rFonts w:eastAsia="Arial Unicode MS" w:cs="Tahoma"/>
          <w:kern w:val="22"/>
          <w:sz w:val="18"/>
          <w:szCs w:val="18"/>
        </w:rPr>
        <w:t xml:space="preserve"> </w:t>
      </w:r>
      <w:r w:rsidR="003455F9">
        <w:rPr>
          <w:rFonts w:eastAsia="Arial Unicode MS" w:cs="Tahoma"/>
          <w:kern w:val="22"/>
          <w:sz w:val="18"/>
          <w:szCs w:val="18"/>
        </w:rPr>
        <w:t>previous years</w:t>
      </w:r>
      <w:r w:rsidR="00A924BE">
        <w:rPr>
          <w:rFonts w:eastAsia="Arial Unicode MS" w:cs="Tahoma"/>
          <w:kern w:val="22"/>
          <w:sz w:val="18"/>
          <w:szCs w:val="18"/>
        </w:rPr>
        <w:t>.</w:t>
      </w:r>
      <w:r w:rsidR="0012135F">
        <w:rPr>
          <w:rFonts w:eastAsia="Arial Unicode MS" w:cs="Tahoma"/>
          <w:kern w:val="22"/>
          <w:sz w:val="18"/>
          <w:szCs w:val="18"/>
        </w:rPr>
        <w:t xml:space="preserve"> </w:t>
      </w:r>
    </w:p>
    <w:p w14:paraId="1431E528" w14:textId="77777777" w:rsidR="001D460E" w:rsidRDefault="001D460E" w:rsidP="00415D40">
      <w:pPr>
        <w:kinsoku w:val="0"/>
        <w:autoSpaceDE w:val="0"/>
        <w:autoSpaceDN w:val="0"/>
        <w:adjustRightInd w:val="0"/>
        <w:spacing w:after="120" w:line="200" w:lineRule="atLeast"/>
        <w:jc w:val="both"/>
        <w:rPr>
          <w:rFonts w:eastAsia="Arial Unicode MS" w:cs="Tahoma"/>
          <w:kern w:val="22"/>
          <w:sz w:val="18"/>
          <w:szCs w:val="18"/>
        </w:rPr>
      </w:pPr>
    </w:p>
    <w:p w14:paraId="29A0712B" w14:textId="77777777" w:rsidR="00415D40" w:rsidRDefault="00415D40" w:rsidP="00415D40">
      <w:pPr>
        <w:pStyle w:val="EC-Title-6"/>
        <w:rPr>
          <w:rFonts w:cs="Tahoma"/>
          <w:color w:val="FF0000"/>
          <w:sz w:val="20"/>
          <w:szCs w:val="20"/>
        </w:rPr>
      </w:pPr>
      <w:bookmarkStart w:id="52" w:name="_Toc175577699"/>
      <w:r>
        <w:t>Reports published by ECDC on LGV infection</w:t>
      </w:r>
      <w:bookmarkEnd w:id="52"/>
      <w:r>
        <w:t xml:space="preserve"> </w:t>
      </w:r>
    </w:p>
    <w:p w14:paraId="0B225012" w14:textId="77777777" w:rsidR="00415D40" w:rsidRPr="007B34B1" w:rsidRDefault="00415D40" w:rsidP="00415D40">
      <w:pPr>
        <w:kinsoku w:val="0"/>
        <w:autoSpaceDE w:val="0"/>
        <w:autoSpaceDN w:val="0"/>
        <w:adjustRightInd w:val="0"/>
        <w:spacing w:after="120" w:line="200" w:lineRule="atLeast"/>
        <w:jc w:val="both"/>
        <w:rPr>
          <w:rFonts w:eastAsia="Arial Unicode MS"/>
          <w:kern w:val="22"/>
          <w:sz w:val="18"/>
          <w:szCs w:val="18"/>
        </w:rPr>
      </w:pPr>
      <w:r w:rsidRPr="007B34B1">
        <w:rPr>
          <w:rFonts w:eastAsia="Arial Unicode MS"/>
          <w:kern w:val="22"/>
          <w:sz w:val="18"/>
          <w:szCs w:val="18"/>
        </w:rPr>
        <w:t xml:space="preserve">More information is available in ECDC reports. </w:t>
      </w:r>
      <w:r>
        <w:rPr>
          <w:rFonts w:eastAsia="Arial Unicode MS"/>
          <w:kern w:val="22"/>
          <w:sz w:val="18"/>
          <w:szCs w:val="18"/>
        </w:rPr>
        <w:t>L</w:t>
      </w:r>
      <w:r w:rsidRPr="007B34B1">
        <w:rPr>
          <w:rFonts w:eastAsia="Arial Unicode MS"/>
          <w:kern w:val="22"/>
          <w:sz w:val="18"/>
          <w:szCs w:val="18"/>
        </w:rPr>
        <w:t xml:space="preserve">ater retrievals of data related to the same period may result in slightly different numbers as countries have the possibility to update data retrospectively. Therefore, the data presented in the reports might slightly differ </w:t>
      </w:r>
      <w:r>
        <w:rPr>
          <w:rFonts w:eastAsia="Arial Unicode MS"/>
          <w:kern w:val="22"/>
          <w:sz w:val="18"/>
          <w:szCs w:val="18"/>
        </w:rPr>
        <w:t>from</w:t>
      </w:r>
      <w:r w:rsidRPr="007B34B1">
        <w:rPr>
          <w:rFonts w:eastAsia="Arial Unicode MS"/>
          <w:kern w:val="22"/>
          <w:sz w:val="18"/>
          <w:szCs w:val="18"/>
        </w:rPr>
        <w:t xml:space="preserve"> th</w:t>
      </w:r>
      <w:r>
        <w:rPr>
          <w:rFonts w:eastAsia="Arial Unicode MS"/>
          <w:kern w:val="22"/>
          <w:sz w:val="18"/>
          <w:szCs w:val="18"/>
        </w:rPr>
        <w:t>ose</w:t>
      </w:r>
      <w:r w:rsidRPr="007B34B1">
        <w:rPr>
          <w:rFonts w:eastAsia="Arial Unicode MS"/>
          <w:kern w:val="22"/>
          <w:sz w:val="18"/>
          <w:szCs w:val="18"/>
        </w:rPr>
        <w:t xml:space="preserve"> presented in the Surveillance Atlas.</w:t>
      </w:r>
    </w:p>
    <w:p w14:paraId="150530B9" w14:textId="77777777" w:rsidR="00FD1BC4" w:rsidRDefault="00415D40" w:rsidP="00FD1BC4">
      <w:pPr>
        <w:shd w:val="clear" w:color="auto" w:fill="FFFFFF"/>
        <w:rPr>
          <w:rFonts w:cs="Tahoma"/>
          <w:b/>
          <w:bCs/>
          <w:i/>
          <w:color w:val="333333"/>
          <w:sz w:val="18"/>
          <w:szCs w:val="18"/>
        </w:rPr>
      </w:pPr>
      <w:r>
        <w:rPr>
          <w:rFonts w:cs="Tahoma"/>
          <w:b/>
          <w:bCs/>
          <w:color w:val="333333"/>
          <w:sz w:val="18"/>
          <w:szCs w:val="18"/>
        </w:rPr>
        <w:t>Annual epidemiological report 20</w:t>
      </w:r>
      <w:r w:rsidR="006F18E3">
        <w:rPr>
          <w:rFonts w:cs="Tahoma"/>
          <w:b/>
          <w:bCs/>
          <w:color w:val="333333"/>
          <w:sz w:val="18"/>
          <w:szCs w:val="18"/>
        </w:rPr>
        <w:t>19</w:t>
      </w:r>
      <w:r>
        <w:rPr>
          <w:rFonts w:cs="Tahoma"/>
          <w:b/>
          <w:bCs/>
          <w:color w:val="333333"/>
          <w:sz w:val="18"/>
          <w:szCs w:val="18"/>
        </w:rPr>
        <w:t xml:space="preserve"> – </w:t>
      </w:r>
      <w:r>
        <w:rPr>
          <w:rFonts w:cs="Tahoma"/>
          <w:b/>
          <w:bCs/>
          <w:i/>
          <w:color w:val="333333"/>
          <w:sz w:val="18"/>
          <w:szCs w:val="18"/>
        </w:rPr>
        <w:t>Lymphogranuloma venereum</w:t>
      </w:r>
    </w:p>
    <w:p w14:paraId="59EF143E" w14:textId="3665700A" w:rsidR="00FA6922" w:rsidRPr="00FD1BC4" w:rsidRDefault="006821D1" w:rsidP="00FD1BC4">
      <w:pPr>
        <w:shd w:val="clear" w:color="auto" w:fill="FFFFFF"/>
        <w:rPr>
          <w:rFonts w:eastAsia="Times New Roman" w:cs="Tahoma"/>
          <w:i/>
          <w:color w:val="333333"/>
          <w:szCs w:val="14"/>
          <w:lang w:eastAsia="en-GB"/>
        </w:rPr>
      </w:pPr>
      <w:r w:rsidRPr="006821D1">
        <w:rPr>
          <w:rStyle w:val="Hyperlink"/>
          <w:rFonts w:cs="Times New Roman"/>
        </w:rPr>
        <w:t>https://www.ecdc.europa.eu/sites/default/files/documents/lymphogranuloma-venereum-annual-epidemiological-report-2021_0.pdf</w:t>
      </w:r>
    </w:p>
    <w:p w14:paraId="25E9B52A" w14:textId="77777777" w:rsidR="00FA6922" w:rsidRDefault="00FA6922" w:rsidP="00FF49FF">
      <w:pPr>
        <w:pStyle w:val="EC-Title-6"/>
      </w:pPr>
      <w:r>
        <w:br w:type="page"/>
      </w:r>
    </w:p>
    <w:p w14:paraId="2737F171" w14:textId="6E6B17C6" w:rsidR="00415D40" w:rsidRDefault="00415D40" w:rsidP="00FF49FF">
      <w:pPr>
        <w:pStyle w:val="EC-Title-6"/>
      </w:pPr>
      <w:bookmarkStart w:id="53" w:name="_Toc175577700"/>
      <w:r w:rsidRPr="00F015EE">
        <w:lastRenderedPageBreak/>
        <w:t xml:space="preserve">Surveillance systems overview, </w:t>
      </w:r>
      <w:r w:rsidR="00C32758">
        <w:t xml:space="preserve">LGV, </w:t>
      </w:r>
      <w:r w:rsidR="0027188B">
        <w:t>202</w:t>
      </w:r>
      <w:r w:rsidR="00A60A7E">
        <w:t>3</w:t>
      </w:r>
      <w:bookmarkEnd w:id="53"/>
    </w:p>
    <w:p w14:paraId="2695C708" w14:textId="77777777" w:rsidR="00A07B1B" w:rsidRPr="00A07B1B" w:rsidRDefault="00A07B1B" w:rsidP="00A07B1B">
      <w:pPr>
        <w:pStyle w:val="EC-Para"/>
        <w:rPr>
          <w:lang w:eastAsia="en-US"/>
        </w:rPr>
      </w:pPr>
    </w:p>
    <w:p w14:paraId="6D56B1FF" w14:textId="58C957E5" w:rsidR="00C32758" w:rsidRDefault="00A07B1B" w:rsidP="00005E24">
      <w:pPr>
        <w:pStyle w:val="EC-Para"/>
        <w:rPr>
          <w:lang w:eastAsia="en-US"/>
        </w:rPr>
      </w:pPr>
      <w:r w:rsidRPr="00A07B1B">
        <w:drawing>
          <wp:inline distT="0" distB="0" distL="0" distR="0" wp14:anchorId="54E4EA26" wp14:editId="34F304D8">
            <wp:extent cx="5731510" cy="3349625"/>
            <wp:effectExtent l="0" t="0" r="2540" b="3175"/>
            <wp:docPr id="14994165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349625"/>
                    </a:xfrm>
                    <a:prstGeom prst="rect">
                      <a:avLst/>
                    </a:prstGeom>
                    <a:noFill/>
                    <a:ln>
                      <a:noFill/>
                    </a:ln>
                  </pic:spPr>
                </pic:pic>
              </a:graphicData>
            </a:graphic>
          </wp:inline>
        </w:drawing>
      </w:r>
    </w:p>
    <w:p w14:paraId="263E602A" w14:textId="18D1DAE0" w:rsidR="00005E24" w:rsidRDefault="00005E24" w:rsidP="00D46F8B">
      <w:pPr>
        <w:rPr>
          <w:i/>
        </w:rPr>
      </w:pPr>
    </w:p>
    <w:p w14:paraId="76F6C0E1" w14:textId="5B5F479D" w:rsidR="00D46F8B" w:rsidRDefault="00D46F8B" w:rsidP="00415D40">
      <w:r>
        <w:rPr>
          <w:i/>
        </w:rPr>
        <w:t xml:space="preserve">Note: Austria, Bulgaria, Germany, </w:t>
      </w:r>
      <w:r w:rsidR="003D43AF">
        <w:rPr>
          <w:i/>
        </w:rPr>
        <w:t xml:space="preserve">Greece, </w:t>
      </w:r>
      <w:r>
        <w:rPr>
          <w:i/>
        </w:rPr>
        <w:t xml:space="preserve">Romania and Slovakia do not report LGV surveillance data. </w:t>
      </w:r>
      <w:r w:rsidR="003D43AF">
        <w:rPr>
          <w:i/>
        </w:rPr>
        <w:t>S</w:t>
      </w:r>
      <w:r>
        <w:rPr>
          <w:i/>
        </w:rPr>
        <w:t xml:space="preserve">weden </w:t>
      </w:r>
      <w:r w:rsidR="009A2F31">
        <w:rPr>
          <w:i/>
        </w:rPr>
        <w:t xml:space="preserve">only reported data in 2016. </w:t>
      </w:r>
    </w:p>
    <w:p w14:paraId="47B1984D" w14:textId="1808AC7B" w:rsidR="00415D40" w:rsidRDefault="00415D40">
      <w:pPr>
        <w:spacing w:after="200" w:line="276" w:lineRule="auto"/>
        <w:rPr>
          <w:b/>
          <w:bCs/>
          <w:color w:val="69AE23"/>
          <w:sz w:val="26"/>
          <w:szCs w:val="26"/>
          <w:lang w:eastAsia="en-US"/>
        </w:rPr>
      </w:pPr>
      <w:r>
        <w:rPr>
          <w:b/>
          <w:bCs/>
          <w:color w:val="69AE23"/>
          <w:sz w:val="26"/>
          <w:szCs w:val="26"/>
          <w:lang w:eastAsia="en-US"/>
        </w:rPr>
        <w:br w:type="page"/>
      </w:r>
    </w:p>
    <w:p w14:paraId="61E4A1D6" w14:textId="77777777" w:rsidR="00415D40" w:rsidRDefault="00415D40" w:rsidP="00415D40">
      <w:pPr>
        <w:pStyle w:val="EC-Title-5"/>
        <w:rPr>
          <w:i/>
        </w:rPr>
      </w:pPr>
      <w:bookmarkStart w:id="54" w:name="_Toc175577701"/>
      <w:r>
        <w:lastRenderedPageBreak/>
        <w:t>Congenital s</w:t>
      </w:r>
      <w:r w:rsidRPr="00F015EE">
        <w:t>yphilis</w:t>
      </w:r>
      <w:bookmarkEnd w:id="54"/>
    </w:p>
    <w:p w14:paraId="4E416A66" w14:textId="77777777" w:rsidR="00056AF0" w:rsidRDefault="00056AF0" w:rsidP="00056AF0">
      <w:pPr>
        <w:pStyle w:val="EC-Para"/>
        <w:jc w:val="right"/>
        <w:rPr>
          <w:b/>
          <w:lang w:eastAsia="en-US"/>
        </w:rPr>
      </w:pPr>
      <w:r>
        <w:rPr>
          <w:b/>
          <w:lang w:eastAsia="en-US"/>
        </w:rPr>
        <w:t>Last updated: 29 August 2024</w:t>
      </w:r>
    </w:p>
    <w:p w14:paraId="3E9BA485" w14:textId="771AD110" w:rsidR="00056AF0" w:rsidRDefault="00056AF0" w:rsidP="00056AF0">
      <w:pPr>
        <w:pStyle w:val="EC-Para"/>
        <w:jc w:val="right"/>
        <w:rPr>
          <w:b/>
          <w:lang w:eastAsia="en-US"/>
        </w:rPr>
      </w:pPr>
      <w:r>
        <w:rPr>
          <w:b/>
          <w:lang w:eastAsia="en-US"/>
        </w:rPr>
        <w:t xml:space="preserve">Data as of </w:t>
      </w:r>
      <w:r>
        <w:rPr>
          <w:b/>
          <w:lang w:eastAsia="en-US"/>
        </w:rPr>
        <w:t>2</w:t>
      </w:r>
      <w:r>
        <w:rPr>
          <w:b/>
          <w:lang w:eastAsia="en-US"/>
        </w:rPr>
        <w:t>9 August 2024</w:t>
      </w:r>
    </w:p>
    <w:p w14:paraId="6E033349" w14:textId="6836F5E9" w:rsidR="00415D40" w:rsidRPr="00E85C7E" w:rsidRDefault="00415D40" w:rsidP="00E23742">
      <w:pPr>
        <w:autoSpaceDE w:val="0"/>
        <w:autoSpaceDN w:val="0"/>
        <w:adjustRightInd w:val="0"/>
        <w:spacing w:after="120"/>
        <w:jc w:val="both"/>
        <w:rPr>
          <w:color w:val="333333"/>
          <w:szCs w:val="18"/>
          <w:shd w:val="clear" w:color="auto" w:fill="FFFFFF"/>
        </w:rPr>
      </w:pPr>
      <w:r>
        <w:rPr>
          <w:rFonts w:cs="Tahoma"/>
          <w:sz w:val="18"/>
          <w:szCs w:val="18"/>
          <w:shd w:val="clear" w:color="auto" w:fill="FFFFFF"/>
        </w:rPr>
        <w:t>Congenital s</w:t>
      </w:r>
      <w:r w:rsidRPr="00E85C7E">
        <w:rPr>
          <w:rFonts w:cs="Tahoma"/>
          <w:sz w:val="18"/>
          <w:szCs w:val="18"/>
          <w:shd w:val="clear" w:color="auto" w:fill="FFFFFF"/>
        </w:rPr>
        <w:t>yphilis is caused by the bacterium</w:t>
      </w:r>
      <w:r w:rsidRPr="00E85C7E">
        <w:rPr>
          <w:rStyle w:val="apple-converted-space"/>
          <w:szCs w:val="18"/>
          <w:shd w:val="clear" w:color="auto" w:fill="FFFFFF"/>
        </w:rPr>
        <w:t> </w:t>
      </w:r>
      <w:r w:rsidRPr="00E85C7E">
        <w:rPr>
          <w:rStyle w:val="Emphasis"/>
          <w:rFonts w:cs="Tahoma"/>
          <w:sz w:val="18"/>
          <w:szCs w:val="18"/>
          <w:shd w:val="clear" w:color="auto" w:fill="FFFFFF"/>
        </w:rPr>
        <w:t>Treponema pallidum</w:t>
      </w:r>
      <w:r>
        <w:rPr>
          <w:rStyle w:val="Emphasis"/>
          <w:rFonts w:cs="Tahoma"/>
          <w:sz w:val="18"/>
          <w:szCs w:val="18"/>
          <w:shd w:val="clear" w:color="auto" w:fill="FFFFFF"/>
        </w:rPr>
        <w:t xml:space="preserve"> </w:t>
      </w:r>
      <w:r>
        <w:rPr>
          <w:rStyle w:val="Emphasis"/>
          <w:rFonts w:cs="Tahoma"/>
          <w:i w:val="0"/>
          <w:sz w:val="18"/>
          <w:szCs w:val="18"/>
          <w:shd w:val="clear" w:color="auto" w:fill="FFFFFF"/>
        </w:rPr>
        <w:t>and is transmitted from mother to child</w:t>
      </w:r>
      <w:r w:rsidRPr="00E85C7E">
        <w:rPr>
          <w:rFonts w:cs="Tahoma"/>
          <w:sz w:val="18"/>
          <w:szCs w:val="18"/>
          <w:shd w:val="clear" w:color="auto" w:fill="FFFFFF"/>
        </w:rPr>
        <w:t>.</w:t>
      </w:r>
      <w:r w:rsidRPr="00E85C7E">
        <w:rPr>
          <w:rStyle w:val="apple-converted-space"/>
          <w:szCs w:val="18"/>
          <w:shd w:val="clear" w:color="auto" w:fill="FFFFFF"/>
        </w:rPr>
        <w:t> </w:t>
      </w:r>
      <w:r w:rsidRPr="00E85C7E">
        <w:rPr>
          <w:rFonts w:eastAsiaTheme="minorHAnsi" w:cs="Tahoma"/>
          <w:sz w:val="18"/>
          <w:szCs w:val="18"/>
          <w:lang w:eastAsia="en-US"/>
        </w:rPr>
        <w:t>For a more detailed description of the disease and its epidemiology</w:t>
      </w:r>
      <w:r>
        <w:rPr>
          <w:rFonts w:eastAsiaTheme="minorHAnsi" w:cs="Tahoma"/>
          <w:sz w:val="18"/>
          <w:szCs w:val="18"/>
          <w:lang w:eastAsia="en-US"/>
        </w:rPr>
        <w:t>,</w:t>
      </w:r>
      <w:r w:rsidRPr="00E85C7E">
        <w:rPr>
          <w:rFonts w:eastAsiaTheme="minorHAnsi" w:cs="Tahoma"/>
          <w:sz w:val="18"/>
          <w:szCs w:val="18"/>
          <w:lang w:eastAsia="en-US"/>
        </w:rPr>
        <w:t xml:space="preserve"> please click</w:t>
      </w:r>
      <w:r w:rsidRPr="00E85C7E">
        <w:rPr>
          <w:rFonts w:cs="Tahoma"/>
          <w:sz w:val="18"/>
          <w:szCs w:val="18"/>
        </w:rPr>
        <w:t xml:space="preserve"> </w:t>
      </w:r>
      <w:hyperlink r:id="rId26" w:history="1">
        <w:r w:rsidRPr="00F44E9A">
          <w:rPr>
            <w:rStyle w:val="Hyperlink"/>
            <w:i/>
            <w:szCs w:val="18"/>
          </w:rPr>
          <w:t>here</w:t>
        </w:r>
      </w:hyperlink>
      <w:r w:rsidRPr="00F44E9A">
        <w:rPr>
          <w:rStyle w:val="Hyperlink"/>
          <w:i/>
          <w:szCs w:val="18"/>
        </w:rPr>
        <w:t xml:space="preserve">.  </w:t>
      </w:r>
    </w:p>
    <w:p w14:paraId="0BD37674" w14:textId="77777777" w:rsidR="00415D40" w:rsidRDefault="00415D40" w:rsidP="00415D40">
      <w:pPr>
        <w:pStyle w:val="EC-Title-6"/>
        <w:rPr>
          <w:rFonts w:cs="Tahoma"/>
        </w:rPr>
      </w:pPr>
      <w:bookmarkStart w:id="55" w:name="_Toc175577702"/>
      <w:r>
        <w:rPr>
          <w:rFonts w:cs="Tahoma"/>
        </w:rPr>
        <w:t>Data</w:t>
      </w:r>
      <w:bookmarkEnd w:id="55"/>
    </w:p>
    <w:p w14:paraId="4A73E83A" w14:textId="77777777" w:rsidR="00415D40" w:rsidRDefault="00415D40" w:rsidP="00415D40">
      <w:pPr>
        <w:pStyle w:val="EC-Para"/>
        <w:jc w:val="both"/>
        <w:rPr>
          <w:rFonts w:cs="Tahoma"/>
        </w:rPr>
      </w:pPr>
      <w:r>
        <w:rPr>
          <w:rFonts w:cs="Tahoma"/>
        </w:rPr>
        <w:t>The Surveillance Atlas of Infectious Diseases displays data on congenital syphilis infections reported by the EU/EEA Member States. T</w:t>
      </w:r>
      <w:r w:rsidRPr="0057427A">
        <w:rPr>
          <w:rFonts w:cs="Tahoma"/>
        </w:rPr>
        <w:t>he European Centre for Disease Prevention</w:t>
      </w:r>
      <w:r>
        <w:rPr>
          <w:rFonts w:cs="Tahoma"/>
        </w:rPr>
        <w:t xml:space="preserve"> </w:t>
      </w:r>
      <w:r w:rsidRPr="0057427A">
        <w:rPr>
          <w:rFonts w:cs="Tahoma"/>
        </w:rPr>
        <w:t>and Control (ECDC) has been coordinating the enhanced</w:t>
      </w:r>
      <w:r>
        <w:rPr>
          <w:rFonts w:cs="Tahoma"/>
        </w:rPr>
        <w:t xml:space="preserve"> </w:t>
      </w:r>
      <w:r w:rsidRPr="0057427A">
        <w:rPr>
          <w:rFonts w:cs="Tahoma"/>
        </w:rPr>
        <w:t xml:space="preserve">surveillance of </w:t>
      </w:r>
      <w:r>
        <w:rPr>
          <w:rFonts w:cs="Tahoma"/>
        </w:rPr>
        <w:t>congenital syphilis</w:t>
      </w:r>
      <w:r w:rsidRPr="0057427A">
        <w:rPr>
          <w:rFonts w:cs="Tahoma"/>
        </w:rPr>
        <w:t xml:space="preserve"> in</w:t>
      </w:r>
      <w:r>
        <w:rPr>
          <w:rFonts w:cs="Tahoma"/>
        </w:rPr>
        <w:t xml:space="preserve"> </w:t>
      </w:r>
      <w:r w:rsidRPr="0057427A">
        <w:rPr>
          <w:rFonts w:cs="Tahoma"/>
        </w:rPr>
        <w:t>Europe</w:t>
      </w:r>
      <w:r>
        <w:rPr>
          <w:rFonts w:cs="Tahoma"/>
        </w:rPr>
        <w:t xml:space="preserve"> since 2009</w:t>
      </w:r>
      <w:r w:rsidRPr="0057427A">
        <w:rPr>
          <w:rFonts w:cs="Tahoma"/>
        </w:rPr>
        <w:t>.</w:t>
      </w:r>
    </w:p>
    <w:p w14:paraId="5BA0D9BA" w14:textId="0931CF51" w:rsidR="00415D40" w:rsidRPr="00F015EE" w:rsidRDefault="00415D40" w:rsidP="00415D40">
      <w:pPr>
        <w:autoSpaceDE w:val="0"/>
        <w:autoSpaceDN w:val="0"/>
        <w:adjustRightInd w:val="0"/>
        <w:spacing w:after="120"/>
        <w:jc w:val="both"/>
        <w:rPr>
          <w:rFonts w:eastAsia="Arial Unicode MS" w:cs="Tahoma"/>
          <w:kern w:val="22"/>
          <w:sz w:val="18"/>
          <w:szCs w:val="18"/>
        </w:rPr>
      </w:pPr>
      <w:r>
        <w:rPr>
          <w:rFonts w:eastAsia="Arial Unicode MS" w:cs="Tahoma"/>
          <w:kern w:val="22"/>
          <w:sz w:val="18"/>
          <w:szCs w:val="18"/>
        </w:rPr>
        <w:t>Cases are classified according to the 201</w:t>
      </w:r>
      <w:r w:rsidR="00B8264A">
        <w:rPr>
          <w:rFonts w:eastAsia="Arial Unicode MS" w:cs="Tahoma"/>
          <w:kern w:val="22"/>
          <w:sz w:val="18"/>
          <w:szCs w:val="18"/>
        </w:rPr>
        <w:t>8</w:t>
      </w:r>
      <w:r>
        <w:rPr>
          <w:rFonts w:eastAsia="Arial Unicode MS" w:cs="Tahoma"/>
          <w:kern w:val="22"/>
          <w:sz w:val="18"/>
          <w:szCs w:val="18"/>
        </w:rPr>
        <w:t xml:space="preserve"> EU case definition for congenital and neonatal syphilis</w:t>
      </w:r>
      <w:r>
        <w:rPr>
          <w:rStyle w:val="FootnoteReference"/>
          <w:rFonts w:eastAsiaTheme="minorHAnsi" w:cs="Tahoma"/>
          <w:szCs w:val="20"/>
          <w:lang w:eastAsia="en-US"/>
        </w:rPr>
        <w:footnoteReference w:id="10"/>
      </w:r>
      <w:r>
        <w:rPr>
          <w:rFonts w:eastAsia="Arial Unicode MS" w:cs="Tahoma"/>
          <w:kern w:val="22"/>
          <w:sz w:val="18"/>
          <w:szCs w:val="18"/>
        </w:rPr>
        <w:t xml:space="preserve">. </w:t>
      </w:r>
      <w:r w:rsidR="00333293">
        <w:rPr>
          <w:rFonts w:eastAsia="Arial Unicode MS" w:cs="Tahoma"/>
          <w:kern w:val="22"/>
          <w:sz w:val="18"/>
          <w:szCs w:val="18"/>
        </w:rPr>
        <w:t xml:space="preserve">The case definition has not changed compared to the 2012 version. </w:t>
      </w:r>
      <w:r>
        <w:rPr>
          <w:rFonts w:eastAsia="Arial Unicode MS" w:cs="Tahoma"/>
          <w:kern w:val="22"/>
          <w:sz w:val="18"/>
          <w:szCs w:val="18"/>
        </w:rPr>
        <w:t xml:space="preserve">Only confirmed cases are </w:t>
      </w:r>
      <w:r w:rsidRPr="003D0723">
        <w:rPr>
          <w:rFonts w:eastAsia="Arial Unicode MS" w:cs="Tahoma"/>
          <w:kern w:val="22"/>
          <w:sz w:val="18"/>
          <w:szCs w:val="18"/>
        </w:rPr>
        <w:t>reported.</w:t>
      </w:r>
      <w:r>
        <w:rPr>
          <w:rFonts w:eastAsia="Arial Unicode MS" w:cs="Tahoma"/>
          <w:kern w:val="22"/>
          <w:sz w:val="18"/>
          <w:szCs w:val="18"/>
        </w:rPr>
        <w:t xml:space="preserve"> </w:t>
      </w:r>
    </w:p>
    <w:p w14:paraId="44CD9A8C" w14:textId="77777777" w:rsidR="00415D40" w:rsidRPr="00044B0D" w:rsidRDefault="00415D40" w:rsidP="00415D40">
      <w:pPr>
        <w:autoSpaceDE w:val="0"/>
        <w:autoSpaceDN w:val="0"/>
        <w:adjustRightInd w:val="0"/>
        <w:spacing w:before="60" w:after="60"/>
        <w:rPr>
          <w:rFonts w:eastAsiaTheme="minorHAnsi" w:cs="Tahoma"/>
          <w:b/>
          <w:bCs/>
          <w:color w:val="000000"/>
          <w:sz w:val="18"/>
          <w:szCs w:val="18"/>
          <w:lang w:val="it-IT" w:eastAsia="en-US"/>
        </w:rPr>
      </w:pPr>
      <w:r w:rsidRPr="00044B0D">
        <w:rPr>
          <w:rFonts w:eastAsiaTheme="minorHAnsi" w:cs="Tahoma"/>
          <w:b/>
          <w:bCs/>
          <w:color w:val="000000"/>
          <w:sz w:val="18"/>
          <w:szCs w:val="18"/>
          <w:lang w:val="it-IT" w:eastAsia="en-US"/>
        </w:rPr>
        <w:t xml:space="preserve">Clinical </w:t>
      </w:r>
      <w:r>
        <w:rPr>
          <w:rFonts w:eastAsiaTheme="minorHAnsi" w:cs="Tahoma"/>
          <w:b/>
          <w:bCs/>
          <w:color w:val="000000"/>
          <w:sz w:val="18"/>
          <w:szCs w:val="18"/>
          <w:lang w:val="it-IT" w:eastAsia="en-US"/>
        </w:rPr>
        <w:t>c</w:t>
      </w:r>
      <w:r w:rsidRPr="00044B0D">
        <w:rPr>
          <w:rFonts w:eastAsiaTheme="minorHAnsi" w:cs="Tahoma"/>
          <w:b/>
          <w:bCs/>
          <w:color w:val="000000"/>
          <w:sz w:val="18"/>
          <w:szCs w:val="18"/>
          <w:lang w:val="it-IT" w:eastAsia="en-US"/>
        </w:rPr>
        <w:t>riteria</w:t>
      </w:r>
    </w:p>
    <w:p w14:paraId="1EAECEDE"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Any infant &lt;2 years of age with at least one of the following 10:</w:t>
      </w:r>
    </w:p>
    <w:p w14:paraId="3342E49B"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Hepatosp</w:t>
      </w:r>
      <w:r>
        <w:rPr>
          <w:rFonts w:eastAsiaTheme="minorHAnsi" w:cs="Tahoma"/>
          <w:bCs/>
          <w:color w:val="000000"/>
          <w:sz w:val="18"/>
          <w:szCs w:val="18"/>
          <w:lang w:val="it-IT" w:eastAsia="en-US"/>
        </w:rPr>
        <w:t>l</w:t>
      </w:r>
      <w:r w:rsidRPr="00226BFA">
        <w:rPr>
          <w:rFonts w:eastAsiaTheme="minorHAnsi" w:cs="Tahoma"/>
          <w:bCs/>
          <w:color w:val="000000"/>
          <w:sz w:val="18"/>
          <w:szCs w:val="18"/>
          <w:lang w:val="it-IT" w:eastAsia="en-US"/>
        </w:rPr>
        <w:t>enomegaly</w:t>
      </w:r>
    </w:p>
    <w:p w14:paraId="2848CC80"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Mucocutaneous lesions</w:t>
      </w:r>
    </w:p>
    <w:p w14:paraId="0BDA1B34"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Condyloma lata</w:t>
      </w:r>
    </w:p>
    <w:p w14:paraId="49523F0E"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Persistent rhinitis</w:t>
      </w:r>
    </w:p>
    <w:p w14:paraId="7349D985"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Jaundice</w:t>
      </w:r>
    </w:p>
    <w:p w14:paraId="732AB08F"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Pseudoparalysis (due to periostitis and osteochondritis)</w:t>
      </w:r>
    </w:p>
    <w:p w14:paraId="47C457DB"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Central nervous involvement</w:t>
      </w:r>
    </w:p>
    <w:p w14:paraId="526B5AC7"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Anaemia</w:t>
      </w:r>
    </w:p>
    <w:p w14:paraId="7B86658C"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Nephrotic syndrome</w:t>
      </w:r>
    </w:p>
    <w:p w14:paraId="6DF2A338"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Malnutrition</w:t>
      </w:r>
    </w:p>
    <w:p w14:paraId="106C82D3" w14:textId="77777777" w:rsidR="00415D40" w:rsidRPr="00226BFA" w:rsidRDefault="00415D40" w:rsidP="00415D40">
      <w:pPr>
        <w:autoSpaceDE w:val="0"/>
        <w:autoSpaceDN w:val="0"/>
        <w:adjustRightInd w:val="0"/>
        <w:spacing w:before="60" w:after="60"/>
        <w:rPr>
          <w:rFonts w:eastAsiaTheme="minorHAnsi" w:cs="Tahoma"/>
          <w:b/>
          <w:bCs/>
          <w:color w:val="000000"/>
          <w:sz w:val="18"/>
          <w:szCs w:val="18"/>
          <w:lang w:eastAsia="en-US"/>
        </w:rPr>
      </w:pPr>
      <w:r w:rsidRPr="00226BFA">
        <w:rPr>
          <w:rFonts w:eastAsiaTheme="minorHAnsi" w:cs="Tahoma"/>
          <w:b/>
          <w:bCs/>
          <w:color w:val="000000"/>
          <w:sz w:val="18"/>
          <w:szCs w:val="18"/>
          <w:lang w:eastAsia="en-US"/>
        </w:rPr>
        <w:t xml:space="preserve">Laboratory </w:t>
      </w:r>
      <w:r>
        <w:rPr>
          <w:rFonts w:eastAsiaTheme="minorHAnsi" w:cs="Tahoma"/>
          <w:b/>
          <w:bCs/>
          <w:color w:val="000000"/>
          <w:sz w:val="18"/>
          <w:szCs w:val="18"/>
          <w:lang w:eastAsia="en-US"/>
        </w:rPr>
        <w:t>c</w:t>
      </w:r>
      <w:r w:rsidRPr="00226BFA">
        <w:rPr>
          <w:rFonts w:eastAsiaTheme="minorHAnsi" w:cs="Tahoma"/>
          <w:b/>
          <w:bCs/>
          <w:color w:val="000000"/>
          <w:sz w:val="18"/>
          <w:szCs w:val="18"/>
          <w:lang w:eastAsia="en-US"/>
        </w:rPr>
        <w:t>riteria</w:t>
      </w:r>
    </w:p>
    <w:p w14:paraId="2DE38649"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Laboratory criteria for case confirmation</w:t>
      </w:r>
    </w:p>
    <w:p w14:paraId="0CA369C0"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At least one of the following three:</w:t>
      </w:r>
    </w:p>
    <w:p w14:paraId="741CAC4F"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xml:space="preserve">— Demonstration of </w:t>
      </w:r>
      <w:r w:rsidRPr="00044B0D">
        <w:rPr>
          <w:rFonts w:eastAsiaTheme="minorHAnsi" w:cs="Tahoma"/>
          <w:bCs/>
          <w:i/>
          <w:color w:val="000000"/>
          <w:sz w:val="18"/>
          <w:szCs w:val="18"/>
          <w:lang w:val="it-IT" w:eastAsia="en-US"/>
        </w:rPr>
        <w:t>Treponema pallidum</w:t>
      </w:r>
      <w:r w:rsidRPr="00226BFA">
        <w:rPr>
          <w:rFonts w:eastAsiaTheme="minorHAnsi" w:cs="Tahoma"/>
          <w:bCs/>
          <w:color w:val="000000"/>
          <w:sz w:val="18"/>
          <w:szCs w:val="18"/>
          <w:lang w:val="it-IT" w:eastAsia="en-US"/>
        </w:rPr>
        <w:t xml:space="preserve"> by dark field microscopy in the umbilical cord, the placenta, a nasal discharge or skin lesion material</w:t>
      </w:r>
    </w:p>
    <w:p w14:paraId="0B0B506F"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xml:space="preserve">— Demonstration of </w:t>
      </w:r>
      <w:r w:rsidRPr="00044B0D">
        <w:rPr>
          <w:rFonts w:eastAsiaTheme="minorHAnsi" w:cs="Tahoma"/>
          <w:bCs/>
          <w:i/>
          <w:color w:val="000000"/>
          <w:sz w:val="18"/>
          <w:szCs w:val="18"/>
          <w:lang w:val="it-IT" w:eastAsia="en-US"/>
        </w:rPr>
        <w:t>Treponema pallidum</w:t>
      </w:r>
      <w:r w:rsidRPr="00226BFA">
        <w:rPr>
          <w:rFonts w:eastAsiaTheme="minorHAnsi" w:cs="Tahoma"/>
          <w:bCs/>
          <w:color w:val="000000"/>
          <w:sz w:val="18"/>
          <w:szCs w:val="18"/>
          <w:lang w:val="it-IT" w:eastAsia="en-US"/>
        </w:rPr>
        <w:t xml:space="preserve"> by DFA-TP in the umbilical cord, the placenta, a nasal discharge or skin lesion material</w:t>
      </w:r>
    </w:p>
    <w:p w14:paraId="4C195E02"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xml:space="preserve">— Detection of </w:t>
      </w:r>
      <w:r w:rsidRPr="00044B0D">
        <w:rPr>
          <w:rFonts w:eastAsiaTheme="minorHAnsi" w:cs="Tahoma"/>
          <w:bCs/>
          <w:i/>
          <w:color w:val="000000"/>
          <w:sz w:val="18"/>
          <w:szCs w:val="18"/>
          <w:lang w:val="it-IT" w:eastAsia="en-US"/>
        </w:rPr>
        <w:t>Treponema pallidum</w:t>
      </w:r>
      <w:r w:rsidRPr="00226BFA">
        <w:rPr>
          <w:rFonts w:eastAsiaTheme="minorHAnsi" w:cs="Tahoma"/>
          <w:bCs/>
          <w:color w:val="000000"/>
          <w:sz w:val="18"/>
          <w:szCs w:val="18"/>
          <w:lang w:val="it-IT" w:eastAsia="en-US"/>
        </w:rPr>
        <w:t xml:space="preserve"> — specific IgM (FTA-abs, EIA)</w:t>
      </w:r>
    </w:p>
    <w:p w14:paraId="04384899"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AND a reactive non-treponemal test (VDRL, RPR) in the child’s serum</w:t>
      </w:r>
    </w:p>
    <w:p w14:paraId="7E45CF33"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Laboratory criteria for a probable case</w:t>
      </w:r>
    </w:p>
    <w:p w14:paraId="572ACB84"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At least one of the following three:</w:t>
      </w:r>
    </w:p>
    <w:p w14:paraId="1FCE67B0"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Reactive VDRL-CSF test result</w:t>
      </w:r>
    </w:p>
    <w:p w14:paraId="4C6C9185"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Reactive non-treponemal and treponemal serologic tests in the mother’s serum</w:t>
      </w:r>
    </w:p>
    <w:p w14:paraId="7C177933"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Infant’s non-treponemal antibody titre is four-fold or greater than the antibody titre in the mother’s serum</w:t>
      </w:r>
    </w:p>
    <w:p w14:paraId="2B918A39" w14:textId="77777777" w:rsidR="00415D40" w:rsidRPr="00226BFA" w:rsidRDefault="00415D40" w:rsidP="00415D40">
      <w:pPr>
        <w:autoSpaceDE w:val="0"/>
        <w:autoSpaceDN w:val="0"/>
        <w:adjustRightInd w:val="0"/>
        <w:spacing w:before="60" w:after="60"/>
        <w:rPr>
          <w:rFonts w:eastAsiaTheme="minorHAnsi" w:cs="Tahoma"/>
          <w:b/>
          <w:bCs/>
          <w:color w:val="000000"/>
          <w:sz w:val="18"/>
          <w:szCs w:val="18"/>
          <w:lang w:eastAsia="en-US"/>
        </w:rPr>
      </w:pPr>
      <w:r w:rsidRPr="00226BFA">
        <w:rPr>
          <w:rFonts w:eastAsiaTheme="minorHAnsi" w:cs="Tahoma"/>
          <w:b/>
          <w:bCs/>
          <w:color w:val="000000"/>
          <w:sz w:val="18"/>
          <w:szCs w:val="18"/>
          <w:lang w:eastAsia="en-US"/>
        </w:rPr>
        <w:t xml:space="preserve">Epidemiological </w:t>
      </w:r>
      <w:r>
        <w:rPr>
          <w:rFonts w:eastAsiaTheme="minorHAnsi" w:cs="Tahoma"/>
          <w:b/>
          <w:bCs/>
          <w:color w:val="000000"/>
          <w:sz w:val="18"/>
          <w:szCs w:val="18"/>
          <w:lang w:eastAsia="en-US"/>
        </w:rPr>
        <w:t>c</w:t>
      </w:r>
      <w:r w:rsidRPr="00226BFA">
        <w:rPr>
          <w:rFonts w:eastAsiaTheme="minorHAnsi" w:cs="Tahoma"/>
          <w:b/>
          <w:bCs/>
          <w:color w:val="000000"/>
          <w:sz w:val="18"/>
          <w:szCs w:val="18"/>
          <w:lang w:eastAsia="en-US"/>
        </w:rPr>
        <w:t>riteria</w:t>
      </w:r>
    </w:p>
    <w:p w14:paraId="09706761"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Any infant with an epidemiological link by human</w:t>
      </w:r>
      <w:r>
        <w:rPr>
          <w:rFonts w:eastAsiaTheme="minorHAnsi" w:cs="Tahoma"/>
          <w:bCs/>
          <w:color w:val="000000"/>
          <w:sz w:val="18"/>
          <w:szCs w:val="18"/>
          <w:lang w:val="it-IT" w:eastAsia="en-US"/>
        </w:rPr>
        <w:t>-</w:t>
      </w:r>
      <w:r w:rsidRPr="00226BFA">
        <w:rPr>
          <w:rFonts w:eastAsiaTheme="minorHAnsi" w:cs="Tahoma"/>
          <w:bCs/>
          <w:color w:val="000000"/>
          <w:sz w:val="18"/>
          <w:szCs w:val="18"/>
          <w:lang w:val="it-IT" w:eastAsia="en-US"/>
        </w:rPr>
        <w:t>to</w:t>
      </w:r>
      <w:r>
        <w:rPr>
          <w:rFonts w:eastAsiaTheme="minorHAnsi" w:cs="Tahoma"/>
          <w:bCs/>
          <w:color w:val="000000"/>
          <w:sz w:val="18"/>
          <w:szCs w:val="18"/>
          <w:lang w:val="it-IT" w:eastAsia="en-US"/>
        </w:rPr>
        <w:t>-</w:t>
      </w:r>
      <w:r w:rsidRPr="00226BFA">
        <w:rPr>
          <w:rFonts w:eastAsiaTheme="minorHAnsi" w:cs="Tahoma"/>
          <w:bCs/>
          <w:color w:val="000000"/>
          <w:sz w:val="18"/>
          <w:szCs w:val="18"/>
          <w:lang w:val="it-IT" w:eastAsia="en-US"/>
        </w:rPr>
        <w:t>human transmission (vertical transmission)</w:t>
      </w:r>
    </w:p>
    <w:p w14:paraId="383AB055" w14:textId="77777777" w:rsidR="00415D40" w:rsidRDefault="00415D40" w:rsidP="00415D40">
      <w:pPr>
        <w:autoSpaceDE w:val="0"/>
        <w:autoSpaceDN w:val="0"/>
        <w:adjustRightInd w:val="0"/>
        <w:spacing w:before="60" w:after="60"/>
        <w:rPr>
          <w:rFonts w:eastAsiaTheme="minorHAnsi" w:cs="Tahoma"/>
          <w:b/>
          <w:bCs/>
          <w:color w:val="000000"/>
          <w:sz w:val="18"/>
          <w:szCs w:val="18"/>
          <w:lang w:eastAsia="en-US"/>
        </w:rPr>
      </w:pPr>
    </w:p>
    <w:p w14:paraId="3E8B7A48" w14:textId="77777777" w:rsidR="00415D40" w:rsidRPr="00226BFA" w:rsidRDefault="00415D40" w:rsidP="00415D40">
      <w:pPr>
        <w:autoSpaceDE w:val="0"/>
        <w:autoSpaceDN w:val="0"/>
        <w:adjustRightInd w:val="0"/>
        <w:spacing w:before="60" w:after="60"/>
        <w:rPr>
          <w:rFonts w:eastAsiaTheme="minorHAnsi" w:cs="Tahoma"/>
          <w:b/>
          <w:bCs/>
          <w:color w:val="000000"/>
          <w:sz w:val="18"/>
          <w:szCs w:val="18"/>
          <w:lang w:eastAsia="en-US"/>
        </w:rPr>
      </w:pPr>
      <w:r w:rsidRPr="00226BFA">
        <w:rPr>
          <w:rFonts w:eastAsiaTheme="minorHAnsi" w:cs="Tahoma"/>
          <w:b/>
          <w:bCs/>
          <w:color w:val="000000"/>
          <w:sz w:val="18"/>
          <w:szCs w:val="18"/>
          <w:lang w:eastAsia="en-US"/>
        </w:rPr>
        <w:t xml:space="preserve">Case </w:t>
      </w:r>
      <w:r>
        <w:rPr>
          <w:rFonts w:eastAsiaTheme="minorHAnsi" w:cs="Tahoma"/>
          <w:b/>
          <w:bCs/>
          <w:color w:val="000000"/>
          <w:sz w:val="18"/>
          <w:szCs w:val="18"/>
          <w:lang w:eastAsia="en-US"/>
        </w:rPr>
        <w:t>c</w:t>
      </w:r>
      <w:r w:rsidRPr="00226BFA">
        <w:rPr>
          <w:rFonts w:eastAsiaTheme="minorHAnsi" w:cs="Tahoma"/>
          <w:b/>
          <w:bCs/>
          <w:color w:val="000000"/>
          <w:sz w:val="18"/>
          <w:szCs w:val="18"/>
          <w:lang w:eastAsia="en-US"/>
        </w:rPr>
        <w:t>lassification</w:t>
      </w:r>
    </w:p>
    <w:p w14:paraId="07DEE7FD"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 Possible case NA</w:t>
      </w:r>
    </w:p>
    <w:p w14:paraId="0D76817F"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B. Probable case</w:t>
      </w:r>
    </w:p>
    <w:p w14:paraId="16529B8A"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Any infant or child meeting the clinical criteria and with at least one of the following two:</w:t>
      </w:r>
    </w:p>
    <w:p w14:paraId="7A25ABA9"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An epidemiological link</w:t>
      </w:r>
    </w:p>
    <w:p w14:paraId="12376AE2"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 xml:space="preserve">— Meeting the laboratory criteria for a probable </w:t>
      </w:r>
      <w:r>
        <w:rPr>
          <w:rFonts w:eastAsiaTheme="minorHAnsi" w:cs="Tahoma"/>
          <w:bCs/>
          <w:color w:val="000000"/>
          <w:sz w:val="18"/>
          <w:szCs w:val="18"/>
          <w:lang w:val="it-IT" w:eastAsia="en-US"/>
        </w:rPr>
        <w:t>case</w:t>
      </w:r>
    </w:p>
    <w:p w14:paraId="730C1692" w14:textId="77777777" w:rsidR="00415D40" w:rsidRPr="00226BFA"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t>C. Confirmed case</w:t>
      </w:r>
    </w:p>
    <w:p w14:paraId="31CAE144" w14:textId="77777777" w:rsidR="00415D40" w:rsidRDefault="00415D40" w:rsidP="00415D40">
      <w:pPr>
        <w:autoSpaceDE w:val="0"/>
        <w:autoSpaceDN w:val="0"/>
        <w:adjustRightInd w:val="0"/>
        <w:spacing w:before="60" w:after="60"/>
        <w:rPr>
          <w:rFonts w:eastAsiaTheme="minorHAnsi" w:cs="Tahoma"/>
          <w:bCs/>
          <w:color w:val="000000"/>
          <w:sz w:val="18"/>
          <w:szCs w:val="18"/>
          <w:lang w:val="it-IT" w:eastAsia="en-US"/>
        </w:rPr>
      </w:pPr>
      <w:r w:rsidRPr="00226BFA">
        <w:rPr>
          <w:rFonts w:eastAsiaTheme="minorHAnsi" w:cs="Tahoma"/>
          <w:bCs/>
          <w:color w:val="000000"/>
          <w:sz w:val="18"/>
          <w:szCs w:val="18"/>
          <w:lang w:val="it-IT" w:eastAsia="en-US"/>
        </w:rPr>
        <w:lastRenderedPageBreak/>
        <w:t>Any infant meeting the laboratory criteria for case confirmation</w:t>
      </w:r>
    </w:p>
    <w:p w14:paraId="4F30BBDA" w14:textId="77777777" w:rsidR="00415D40" w:rsidRPr="00452AF8" w:rsidRDefault="00415D40" w:rsidP="00415D40">
      <w:pPr>
        <w:pStyle w:val="EC-Title-6"/>
        <w:rPr>
          <w:rFonts w:cs="Tahoma"/>
          <w:b w:val="0"/>
        </w:rPr>
      </w:pPr>
      <w:bookmarkStart w:id="56" w:name="_Toc175577703"/>
      <w:r w:rsidRPr="00BD0ACE">
        <w:rPr>
          <w:rFonts w:cs="Tahoma"/>
          <w:b w:val="0"/>
        </w:rPr>
        <w:t>Data collection and analysis</w:t>
      </w:r>
      <w:bookmarkEnd w:id="56"/>
      <w:r w:rsidRPr="00BD0ACE">
        <w:rPr>
          <w:rFonts w:cs="Tahoma"/>
          <w:b w:val="0"/>
        </w:rPr>
        <w:t xml:space="preserve"> </w:t>
      </w:r>
    </w:p>
    <w:p w14:paraId="1BA38558" w14:textId="047FE568" w:rsidR="00415D40" w:rsidRDefault="00415D40" w:rsidP="00415D40">
      <w:pPr>
        <w:pStyle w:val="EC-Para"/>
        <w:spacing w:line="240" w:lineRule="auto"/>
        <w:jc w:val="both"/>
        <w:rPr>
          <w:rFonts w:cs="Tahoma"/>
        </w:rPr>
      </w:pPr>
      <w:r>
        <w:rPr>
          <w:rFonts w:cs="Tahoma"/>
        </w:rPr>
        <w:t>Data are collected on an annual basis. The Surveillance Atlas indicators are calculated</w:t>
      </w:r>
      <w:r w:rsidR="00333293">
        <w:rPr>
          <w:rFonts w:cs="Tahoma"/>
        </w:rPr>
        <w:t xml:space="preserve"> for cases up to the end of </w:t>
      </w:r>
      <w:r w:rsidR="0027188B">
        <w:rPr>
          <w:rFonts w:cs="Tahoma"/>
        </w:rPr>
        <w:t>202</w:t>
      </w:r>
      <w:r w:rsidR="000D37D6">
        <w:rPr>
          <w:rFonts w:cs="Tahoma"/>
        </w:rPr>
        <w:t>3</w:t>
      </w:r>
      <w:r>
        <w:rPr>
          <w:rFonts w:cs="Tahoma"/>
        </w:rPr>
        <w:t xml:space="preserve">. </w:t>
      </w:r>
      <w:r w:rsidRPr="007B34B1">
        <w:rPr>
          <w:rFonts w:cs="Tahoma"/>
        </w:rPr>
        <w:t>Prior to analys</w:t>
      </w:r>
      <w:r>
        <w:rPr>
          <w:rFonts w:cs="Tahoma"/>
        </w:rPr>
        <w:t>i</w:t>
      </w:r>
      <w:r w:rsidRPr="007B34B1">
        <w:rPr>
          <w:rFonts w:cs="Tahoma"/>
        </w:rPr>
        <w:t xml:space="preserve">s, data are validated with nominated data providers in each EU/EEA country. </w:t>
      </w:r>
      <w:r>
        <w:rPr>
          <w:rFonts w:cs="Tahoma"/>
        </w:rPr>
        <w:t>Data from countries with sentinel surveillance systems are excluded from</w:t>
      </w:r>
      <w:r>
        <w:t xml:space="preserve"> the calculation of notification rates. Rates were calculated per 100 000 live births; the denominator data were obtained from Eurostat</w:t>
      </w:r>
      <w:r>
        <w:rPr>
          <w:rStyle w:val="FootnoteReference"/>
        </w:rPr>
        <w:footnoteReference w:id="11"/>
      </w:r>
      <w:r>
        <w:t xml:space="preserve">. </w:t>
      </w:r>
      <w:r>
        <w:rPr>
          <w:rFonts w:cstheme="minorHAnsi"/>
        </w:rPr>
        <w:t>Note that the data published in the Surveillance Atlas might differ from figures in national reports due to different times of reporting, inclusion of cases by different case definitions and use of different denominators.</w:t>
      </w:r>
    </w:p>
    <w:p w14:paraId="7715D9AE" w14:textId="224614A4" w:rsidR="00415D40" w:rsidRDefault="00B44E2D" w:rsidP="00415D40">
      <w:pPr>
        <w:pStyle w:val="EC-Para"/>
        <w:jc w:val="both"/>
        <w:rPr>
          <w:rFonts w:cs="Tahoma"/>
        </w:rPr>
      </w:pPr>
      <w:r w:rsidRPr="00B44E2D">
        <w:t xml:space="preserve">Indicators were not calculated for variables for which a threshold level of completeness for a given geographical resolution (e.g. country, EU/EEA) and </w:t>
      </w:r>
      <w:proofErr w:type="gramStart"/>
      <w:r w:rsidRPr="00B44E2D">
        <w:t>time period</w:t>
      </w:r>
      <w:proofErr w:type="gramEnd"/>
      <w:r w:rsidRPr="00B44E2D">
        <w:t xml:space="preserve"> has not been reached. </w:t>
      </w:r>
      <w:r w:rsidR="00415D40">
        <w:rPr>
          <w:rFonts w:cs="Tahoma"/>
        </w:rPr>
        <w:t xml:space="preserve">Surveillance systems across the EU/EEA countries are heterogeneous and a surveillance systems overview is displayed in </w:t>
      </w:r>
      <w:r w:rsidR="00796449">
        <w:rPr>
          <w:rFonts w:cs="Tahoma"/>
        </w:rPr>
        <w:t>t</w:t>
      </w:r>
      <w:r w:rsidR="00776D29">
        <w:rPr>
          <w:rFonts w:cs="Tahoma"/>
        </w:rPr>
        <w:t xml:space="preserve">he </w:t>
      </w:r>
      <w:r w:rsidR="00796449">
        <w:rPr>
          <w:rFonts w:cs="Tahoma"/>
        </w:rPr>
        <w:t>t</w:t>
      </w:r>
      <w:r w:rsidR="00776D29">
        <w:rPr>
          <w:rFonts w:cs="Tahoma"/>
        </w:rPr>
        <w:t>able below</w:t>
      </w:r>
      <w:r w:rsidR="00415D40">
        <w:rPr>
          <w:rFonts w:cs="Tahoma"/>
        </w:rPr>
        <w:t>.</w:t>
      </w:r>
    </w:p>
    <w:p w14:paraId="1C4CE69E" w14:textId="77777777" w:rsidR="00415D40" w:rsidRPr="0072746F" w:rsidRDefault="00415D40" w:rsidP="00415D40">
      <w:pPr>
        <w:pStyle w:val="EC-Title-6"/>
        <w:rPr>
          <w:rFonts w:cs="Tahoma"/>
          <w:b w:val="0"/>
        </w:rPr>
      </w:pPr>
      <w:bookmarkStart w:id="57" w:name="_Toc175577704"/>
      <w:r w:rsidRPr="0072746F">
        <w:rPr>
          <w:rFonts w:cs="Tahoma"/>
          <w:b w:val="0"/>
        </w:rPr>
        <w:t>Surveillance Atlas indicators</w:t>
      </w:r>
      <w:bookmarkEnd w:id="57"/>
    </w:p>
    <w:p w14:paraId="4D37FF5C" w14:textId="77777777" w:rsidR="00415D40" w:rsidRPr="00FE46DF" w:rsidRDefault="00415D40" w:rsidP="00415D40">
      <w:pPr>
        <w:pStyle w:val="EC-Para"/>
        <w:rPr>
          <w:rFonts w:cs="Tahoma"/>
        </w:rPr>
      </w:pPr>
      <w:r w:rsidRPr="00FE46DF">
        <w:rPr>
          <w:rFonts w:cs="Tahoma"/>
        </w:rPr>
        <w:t>The Surveillance Atlas indicators for congenital syphilis are:</w:t>
      </w:r>
    </w:p>
    <w:p w14:paraId="784C3C98" w14:textId="77777777" w:rsidR="00415D40" w:rsidRPr="00FE46DF" w:rsidRDefault="00415D40" w:rsidP="00F013A1">
      <w:pPr>
        <w:pStyle w:val="EC-Para"/>
        <w:numPr>
          <w:ilvl w:val="0"/>
          <w:numId w:val="17"/>
        </w:numPr>
        <w:spacing w:after="0"/>
        <w:rPr>
          <w:rFonts w:cs="Tahoma"/>
        </w:rPr>
      </w:pPr>
      <w:r w:rsidRPr="00FE46DF">
        <w:rPr>
          <w:rFonts w:cs="Tahoma"/>
        </w:rPr>
        <w:t xml:space="preserve">Number of reported </w:t>
      </w:r>
      <w:proofErr w:type="gramStart"/>
      <w:r w:rsidRPr="00FE46DF">
        <w:rPr>
          <w:rFonts w:cs="Tahoma"/>
        </w:rPr>
        <w:t>cases</w:t>
      </w:r>
      <w:r>
        <w:rPr>
          <w:rFonts w:cs="Tahoma"/>
        </w:rPr>
        <w:t>;</w:t>
      </w:r>
      <w:proofErr w:type="gramEnd"/>
    </w:p>
    <w:p w14:paraId="1FBD7AB2" w14:textId="77777777" w:rsidR="00415D40" w:rsidRPr="00FE46DF" w:rsidRDefault="00415D40" w:rsidP="00F013A1">
      <w:pPr>
        <w:pStyle w:val="EC-Para"/>
        <w:numPr>
          <w:ilvl w:val="0"/>
          <w:numId w:val="17"/>
        </w:numPr>
        <w:spacing w:after="0"/>
        <w:rPr>
          <w:rFonts w:cs="Tahoma"/>
        </w:rPr>
      </w:pPr>
      <w:r w:rsidRPr="00FE46DF">
        <w:rPr>
          <w:rFonts w:cs="Tahoma"/>
        </w:rPr>
        <w:t xml:space="preserve">Notification rate per 100 000 </w:t>
      </w:r>
      <w:r>
        <w:rPr>
          <w:rFonts w:cs="Tahoma"/>
        </w:rPr>
        <w:t>live births.</w:t>
      </w:r>
    </w:p>
    <w:p w14:paraId="4318D2A9" w14:textId="77777777" w:rsidR="00415D40" w:rsidRDefault="00415D40" w:rsidP="00415D40">
      <w:pPr>
        <w:pStyle w:val="EC-Para"/>
        <w:spacing w:after="0"/>
        <w:rPr>
          <w:rFonts w:cs="Tahoma"/>
          <w:highlight w:val="yellow"/>
        </w:rPr>
      </w:pPr>
    </w:p>
    <w:p w14:paraId="2A5668A0" w14:textId="77777777" w:rsidR="00415D40" w:rsidRDefault="00415D40" w:rsidP="00415D40">
      <w:pPr>
        <w:autoSpaceDE w:val="0"/>
        <w:autoSpaceDN w:val="0"/>
        <w:spacing w:line="200" w:lineRule="atLeast"/>
        <w:rPr>
          <w:rFonts w:ascii="Calibri" w:eastAsiaTheme="minorHAnsi" w:hAnsi="Calibri"/>
          <w:sz w:val="18"/>
          <w:szCs w:val="18"/>
          <w:lang w:eastAsia="en-US"/>
        </w:rPr>
      </w:pPr>
      <w:r>
        <w:rPr>
          <w:sz w:val="18"/>
          <w:szCs w:val="18"/>
        </w:rPr>
        <w:t xml:space="preserve">For </w:t>
      </w:r>
      <w:r>
        <w:rPr>
          <w:sz w:val="18"/>
          <w:szCs w:val="18"/>
          <w:u w:val="single"/>
        </w:rPr>
        <w:t>notification rate indicators</w:t>
      </w:r>
      <w:r>
        <w:rPr>
          <w:sz w:val="18"/>
          <w:szCs w:val="18"/>
        </w:rPr>
        <w:t xml:space="preserve">, the data may be displayed in a bar chart as:  </w:t>
      </w:r>
    </w:p>
    <w:p w14:paraId="4FF883B0" w14:textId="77777777" w:rsidR="00415D40" w:rsidRDefault="00415D40" w:rsidP="00415D40">
      <w:pPr>
        <w:numPr>
          <w:ilvl w:val="0"/>
          <w:numId w:val="4"/>
        </w:numPr>
        <w:autoSpaceDE w:val="0"/>
        <w:autoSpaceDN w:val="0"/>
        <w:spacing w:line="200" w:lineRule="atLeast"/>
        <w:rPr>
          <w:sz w:val="18"/>
          <w:szCs w:val="18"/>
        </w:rPr>
      </w:pPr>
      <w:r>
        <w:rPr>
          <w:sz w:val="18"/>
          <w:szCs w:val="18"/>
        </w:rPr>
        <w:t>Gender-specific notification rate.</w:t>
      </w:r>
    </w:p>
    <w:p w14:paraId="0BE0CE4F" w14:textId="77777777" w:rsidR="00415D40" w:rsidRDefault="00415D40" w:rsidP="00415D40">
      <w:pPr>
        <w:autoSpaceDE w:val="0"/>
        <w:autoSpaceDN w:val="0"/>
        <w:spacing w:line="200" w:lineRule="atLeast"/>
        <w:rPr>
          <w:sz w:val="18"/>
          <w:szCs w:val="18"/>
        </w:rPr>
      </w:pPr>
    </w:p>
    <w:p w14:paraId="4A57583B" w14:textId="77777777" w:rsidR="00415D40" w:rsidRDefault="00415D40" w:rsidP="00415D40">
      <w:pPr>
        <w:autoSpaceDE w:val="0"/>
        <w:autoSpaceDN w:val="0"/>
        <w:spacing w:line="200" w:lineRule="atLeast"/>
        <w:rPr>
          <w:sz w:val="18"/>
          <w:szCs w:val="18"/>
        </w:rPr>
      </w:pPr>
      <w:r>
        <w:rPr>
          <w:sz w:val="18"/>
          <w:szCs w:val="18"/>
        </w:rPr>
        <w:t xml:space="preserve">For </w:t>
      </w:r>
      <w:r>
        <w:rPr>
          <w:sz w:val="18"/>
          <w:szCs w:val="18"/>
          <w:u w:val="single"/>
        </w:rPr>
        <w:t>all other indicators</w:t>
      </w:r>
      <w:r>
        <w:rPr>
          <w:sz w:val="18"/>
          <w:szCs w:val="18"/>
        </w:rPr>
        <w:t xml:space="preserve">, the data may be displayed in a bar chart or a pie chart by proportion of:  </w:t>
      </w:r>
    </w:p>
    <w:p w14:paraId="13E0BDBB" w14:textId="77777777" w:rsidR="00415D40" w:rsidRDefault="00415D40" w:rsidP="00415D40">
      <w:pPr>
        <w:numPr>
          <w:ilvl w:val="0"/>
          <w:numId w:val="4"/>
        </w:numPr>
        <w:autoSpaceDE w:val="0"/>
        <w:autoSpaceDN w:val="0"/>
        <w:spacing w:line="200" w:lineRule="atLeast"/>
        <w:rPr>
          <w:sz w:val="18"/>
          <w:szCs w:val="18"/>
        </w:rPr>
      </w:pPr>
      <w:r>
        <w:rPr>
          <w:sz w:val="18"/>
          <w:szCs w:val="18"/>
        </w:rPr>
        <w:t xml:space="preserve">Age groups </w:t>
      </w:r>
      <w:r>
        <w:rPr>
          <w:rFonts w:eastAsia="Arial Unicode MS" w:cs="Tahoma"/>
          <w:kern w:val="22"/>
          <w:sz w:val="18"/>
          <w:szCs w:val="18"/>
        </w:rPr>
        <w:t>(</w:t>
      </w:r>
      <w:r w:rsidRPr="000C1FCE">
        <w:rPr>
          <w:rFonts w:eastAsia="Arial Unicode MS" w:cs="Tahoma"/>
          <w:kern w:val="22"/>
          <w:sz w:val="18"/>
          <w:szCs w:val="18"/>
        </w:rPr>
        <w:t>0, 1, 2, 3 months</w:t>
      </w:r>
      <w:r>
        <w:rPr>
          <w:rFonts w:eastAsia="Arial Unicode MS" w:cs="Tahoma"/>
          <w:kern w:val="22"/>
          <w:sz w:val="18"/>
          <w:szCs w:val="18"/>
        </w:rPr>
        <w:t xml:space="preserve"> and above</w:t>
      </w:r>
      <w:proofErr w:type="gramStart"/>
      <w:r w:rsidRPr="007B34B1">
        <w:rPr>
          <w:rFonts w:eastAsia="Arial Unicode MS" w:cs="Tahoma"/>
          <w:kern w:val="22"/>
          <w:sz w:val="18"/>
          <w:szCs w:val="18"/>
        </w:rPr>
        <w:t>);</w:t>
      </w:r>
      <w:proofErr w:type="gramEnd"/>
    </w:p>
    <w:p w14:paraId="2FDB70CC" w14:textId="77777777" w:rsidR="00415D40" w:rsidRDefault="00415D40" w:rsidP="00415D40">
      <w:pPr>
        <w:numPr>
          <w:ilvl w:val="0"/>
          <w:numId w:val="4"/>
        </w:numPr>
        <w:autoSpaceDE w:val="0"/>
        <w:autoSpaceDN w:val="0"/>
        <w:spacing w:line="200" w:lineRule="atLeast"/>
        <w:rPr>
          <w:sz w:val="18"/>
          <w:szCs w:val="18"/>
        </w:rPr>
      </w:pPr>
      <w:r>
        <w:rPr>
          <w:sz w:val="18"/>
          <w:szCs w:val="18"/>
        </w:rPr>
        <w:t>Gender.</w:t>
      </w:r>
    </w:p>
    <w:p w14:paraId="10830EFD" w14:textId="77777777" w:rsidR="00415D40" w:rsidRDefault="00415D40" w:rsidP="00415D40">
      <w:pPr>
        <w:pStyle w:val="EC-Para"/>
        <w:spacing w:after="0"/>
        <w:rPr>
          <w:rFonts w:cs="Tahoma"/>
          <w:highlight w:val="yellow"/>
        </w:rPr>
      </w:pPr>
    </w:p>
    <w:p w14:paraId="0EE2C153" w14:textId="77777777" w:rsidR="00415D40" w:rsidRDefault="00415D40" w:rsidP="00415D40">
      <w:pPr>
        <w:pStyle w:val="EC-Title-6"/>
        <w:rPr>
          <w:rFonts w:eastAsia="Arial Unicode MS"/>
          <w:b w:val="0"/>
          <w:bCs w:val="0"/>
          <w:color w:val="auto"/>
          <w:kern w:val="22"/>
          <w:sz w:val="18"/>
          <w:szCs w:val="18"/>
        </w:rPr>
      </w:pPr>
      <w:bookmarkStart w:id="58" w:name="_Toc175577705"/>
      <w:r>
        <w:rPr>
          <w:rFonts w:eastAsia="Arial Unicode MS"/>
          <w:b w:val="0"/>
          <w:bCs w:val="0"/>
          <w:color w:val="auto"/>
          <w:kern w:val="22"/>
          <w:sz w:val="18"/>
          <w:szCs w:val="18"/>
        </w:rPr>
        <w:t>Symbols used in the Surveillance Atlas:</w:t>
      </w:r>
      <w:bookmarkEnd w:id="58"/>
      <w:r>
        <w:rPr>
          <w:rFonts w:eastAsia="Arial Unicode MS"/>
          <w:b w:val="0"/>
          <w:bCs w:val="0"/>
          <w:color w:val="auto"/>
          <w:kern w:val="22"/>
          <w:sz w:val="18"/>
          <w:szCs w:val="18"/>
        </w:rPr>
        <w:t xml:space="preserve"> </w:t>
      </w:r>
    </w:p>
    <w:tbl>
      <w:tblPr>
        <w:tblStyle w:val="TableGrid"/>
        <w:tblW w:w="0" w:type="auto"/>
        <w:tblLook w:val="04A0" w:firstRow="1" w:lastRow="0" w:firstColumn="1" w:lastColumn="0" w:noHBand="0" w:noVBand="1"/>
      </w:tblPr>
      <w:tblGrid>
        <w:gridCol w:w="1101"/>
        <w:gridCol w:w="5103"/>
      </w:tblGrid>
      <w:tr w:rsidR="00415D40" w14:paraId="20CB5A40" w14:textId="77777777" w:rsidTr="00415D40">
        <w:tc>
          <w:tcPr>
            <w:tcW w:w="1101" w:type="dxa"/>
            <w:tcBorders>
              <w:top w:val="single" w:sz="4" w:space="0" w:color="000000"/>
              <w:left w:val="single" w:sz="4" w:space="0" w:color="000000"/>
              <w:bottom w:val="single" w:sz="4" w:space="0" w:color="000000"/>
              <w:right w:val="single" w:sz="4" w:space="0" w:color="000000"/>
            </w:tcBorders>
            <w:hideMark/>
          </w:tcPr>
          <w:p w14:paraId="2C1F5695" w14:textId="77777777" w:rsidR="00415D40" w:rsidRDefault="00415D40" w:rsidP="00415D40">
            <w:pPr>
              <w:pStyle w:val="EC-Para"/>
              <w:rPr>
                <w:lang w:eastAsia="en-US"/>
              </w:rPr>
            </w:pPr>
            <w:r>
              <w:rPr>
                <w:lang w:eastAsia="en-US"/>
              </w:rPr>
              <w:t>Symbol</w:t>
            </w:r>
          </w:p>
        </w:tc>
        <w:tc>
          <w:tcPr>
            <w:tcW w:w="5103" w:type="dxa"/>
            <w:tcBorders>
              <w:top w:val="single" w:sz="4" w:space="0" w:color="000000"/>
              <w:left w:val="single" w:sz="4" w:space="0" w:color="000000"/>
              <w:bottom w:val="single" w:sz="4" w:space="0" w:color="000000"/>
              <w:right w:val="single" w:sz="4" w:space="0" w:color="000000"/>
            </w:tcBorders>
            <w:hideMark/>
          </w:tcPr>
          <w:p w14:paraId="49496C44" w14:textId="77777777" w:rsidR="00415D40" w:rsidRDefault="00415D40" w:rsidP="00415D40">
            <w:pPr>
              <w:pStyle w:val="EC-Para"/>
              <w:rPr>
                <w:lang w:eastAsia="en-US"/>
              </w:rPr>
            </w:pPr>
            <w:r>
              <w:rPr>
                <w:lang w:eastAsia="en-US"/>
              </w:rPr>
              <w:t>Comment</w:t>
            </w:r>
          </w:p>
        </w:tc>
      </w:tr>
      <w:tr w:rsidR="00415D40" w14:paraId="553999A4" w14:textId="77777777" w:rsidTr="00415D40">
        <w:tc>
          <w:tcPr>
            <w:tcW w:w="1101" w:type="dxa"/>
            <w:tcBorders>
              <w:top w:val="single" w:sz="4" w:space="0" w:color="000000"/>
              <w:left w:val="single" w:sz="4" w:space="0" w:color="000000"/>
              <w:bottom w:val="single" w:sz="4" w:space="0" w:color="000000"/>
              <w:right w:val="single" w:sz="4" w:space="0" w:color="000000"/>
            </w:tcBorders>
            <w:hideMark/>
          </w:tcPr>
          <w:p w14:paraId="34521228" w14:textId="77777777" w:rsidR="00415D40" w:rsidRDefault="00415D40" w:rsidP="00415D40">
            <w:pPr>
              <w:pStyle w:val="EC-Para"/>
              <w:jc w:val="center"/>
              <w:rPr>
                <w:b/>
                <w:lang w:eastAsia="en-US"/>
              </w:rPr>
            </w:pPr>
            <w:r w:rsidRPr="00321372">
              <w:rPr>
                <w:rFonts w:eastAsiaTheme="minorHAnsi" w:cs="Tahoma"/>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4B8F5841" w14:textId="77777777" w:rsidR="00415D40" w:rsidRDefault="00415D40" w:rsidP="00415D40">
            <w:pPr>
              <w:pStyle w:val="EC-Para"/>
              <w:rPr>
                <w:lang w:eastAsia="en-US"/>
              </w:rPr>
            </w:pPr>
            <w:r>
              <w:rPr>
                <w:lang w:eastAsia="en-US"/>
              </w:rPr>
              <w:t xml:space="preserve">Indicator is not calculated for a given geographical resolution and </w:t>
            </w:r>
            <w:proofErr w:type="gramStart"/>
            <w:r>
              <w:rPr>
                <w:lang w:eastAsia="en-US"/>
              </w:rPr>
              <w:t>time period</w:t>
            </w:r>
            <w:proofErr w:type="gramEnd"/>
            <w:r>
              <w:rPr>
                <w:lang w:eastAsia="en-US"/>
              </w:rPr>
              <w:t>.</w:t>
            </w:r>
          </w:p>
        </w:tc>
      </w:tr>
      <w:tr w:rsidR="00415D40" w14:paraId="65864471" w14:textId="77777777" w:rsidTr="00415D40">
        <w:tc>
          <w:tcPr>
            <w:tcW w:w="1101" w:type="dxa"/>
            <w:tcBorders>
              <w:top w:val="single" w:sz="4" w:space="0" w:color="000000"/>
              <w:left w:val="single" w:sz="4" w:space="0" w:color="000000"/>
              <w:bottom w:val="single" w:sz="4" w:space="0" w:color="000000"/>
              <w:right w:val="single" w:sz="4" w:space="0" w:color="000000"/>
            </w:tcBorders>
            <w:hideMark/>
          </w:tcPr>
          <w:p w14:paraId="1DC8153A" w14:textId="77777777" w:rsidR="00415D40" w:rsidRDefault="00415D40" w:rsidP="00415D40">
            <w:pPr>
              <w:pStyle w:val="EC-Para"/>
              <w:jc w:val="center"/>
              <w:rPr>
                <w:b/>
                <w:lang w:eastAsia="en-US"/>
              </w:rPr>
            </w:pPr>
            <w:r>
              <w:rPr>
                <w:b/>
                <w:lang w:eastAsia="en-US"/>
              </w:rPr>
              <w:t>.</w:t>
            </w:r>
          </w:p>
        </w:tc>
        <w:tc>
          <w:tcPr>
            <w:tcW w:w="5103" w:type="dxa"/>
            <w:tcBorders>
              <w:top w:val="single" w:sz="4" w:space="0" w:color="000000"/>
              <w:left w:val="single" w:sz="4" w:space="0" w:color="000000"/>
              <w:bottom w:val="single" w:sz="4" w:space="0" w:color="000000"/>
              <w:right w:val="single" w:sz="4" w:space="0" w:color="000000"/>
            </w:tcBorders>
            <w:hideMark/>
          </w:tcPr>
          <w:p w14:paraId="1FE31416" w14:textId="77777777" w:rsidR="00415D40" w:rsidRDefault="00415D40" w:rsidP="00415D40">
            <w:pPr>
              <w:pStyle w:val="EC-Para"/>
              <w:rPr>
                <w:lang w:eastAsia="en-US"/>
              </w:rPr>
            </w:pPr>
            <w:r>
              <w:rPr>
                <w:lang w:eastAsia="en-US"/>
              </w:rPr>
              <w:t xml:space="preserve">Missing data. Data are not reported to </w:t>
            </w:r>
            <w:proofErr w:type="spellStart"/>
            <w:r>
              <w:rPr>
                <w:lang w:eastAsia="en-US"/>
              </w:rPr>
              <w:t>TESSy</w:t>
            </w:r>
            <w:proofErr w:type="spellEnd"/>
            <w:r>
              <w:rPr>
                <w:lang w:eastAsia="en-US"/>
              </w:rPr>
              <w:t xml:space="preserve"> for a given</w:t>
            </w:r>
            <w:r w:rsidDel="00083842">
              <w:rPr>
                <w:lang w:eastAsia="en-US"/>
              </w:rPr>
              <w:t xml:space="preserve"> </w:t>
            </w:r>
            <w:proofErr w:type="gramStart"/>
            <w:r>
              <w:rPr>
                <w:lang w:eastAsia="en-US"/>
              </w:rPr>
              <w:t>time period</w:t>
            </w:r>
            <w:proofErr w:type="gramEnd"/>
            <w:r>
              <w:rPr>
                <w:lang w:eastAsia="en-US"/>
              </w:rPr>
              <w:t>.</w:t>
            </w:r>
          </w:p>
        </w:tc>
      </w:tr>
    </w:tbl>
    <w:p w14:paraId="6AFC8295" w14:textId="77777777" w:rsidR="00415D40" w:rsidRDefault="00415D40" w:rsidP="00415D40">
      <w:pPr>
        <w:pStyle w:val="EC-Para"/>
        <w:rPr>
          <w:lang w:eastAsia="en-US"/>
        </w:rPr>
      </w:pPr>
    </w:p>
    <w:p w14:paraId="742A7EAB" w14:textId="77777777" w:rsidR="00415D40" w:rsidRPr="0072746F" w:rsidRDefault="00415D40" w:rsidP="00415D40">
      <w:pPr>
        <w:pStyle w:val="EC-Title-6"/>
        <w:rPr>
          <w:rFonts w:cs="Tahoma"/>
          <w:b w:val="0"/>
        </w:rPr>
      </w:pPr>
      <w:bookmarkStart w:id="59" w:name="_Toc175577706"/>
      <w:r w:rsidRPr="0072746F">
        <w:rPr>
          <w:rFonts w:cs="Tahoma"/>
          <w:b w:val="0"/>
        </w:rPr>
        <w:t>Data quality</w:t>
      </w:r>
      <w:bookmarkEnd w:id="59"/>
    </w:p>
    <w:p w14:paraId="1D4A5FBB" w14:textId="6CAACB8F" w:rsidR="00415D40" w:rsidRPr="004A618F" w:rsidRDefault="00415D40" w:rsidP="00415D40">
      <w:pPr>
        <w:shd w:val="clear" w:color="auto" w:fill="FFFFFF"/>
        <w:jc w:val="both"/>
        <w:rPr>
          <w:rFonts w:eastAsia="Times New Roman" w:cs="Tahoma"/>
          <w:szCs w:val="14"/>
          <w:lang w:eastAsia="en-GB"/>
        </w:rPr>
      </w:pPr>
      <w:r w:rsidRPr="004A618F">
        <w:rPr>
          <w:rFonts w:eastAsia="Times New Roman" w:cs="Tahoma"/>
          <w:sz w:val="18"/>
          <w:szCs w:val="18"/>
          <w:lang w:eastAsia="en-GB"/>
        </w:rPr>
        <w:t xml:space="preserve">The Surveillance Atlas indicators were calculated up to the end of </w:t>
      </w:r>
      <w:r w:rsidR="0027188B">
        <w:rPr>
          <w:rFonts w:eastAsia="Times New Roman" w:cs="Tahoma"/>
          <w:sz w:val="18"/>
          <w:szCs w:val="18"/>
          <w:lang w:eastAsia="en-GB"/>
        </w:rPr>
        <w:t>202</w:t>
      </w:r>
      <w:r w:rsidR="000D37D6">
        <w:rPr>
          <w:rFonts w:eastAsia="Times New Roman" w:cs="Tahoma"/>
          <w:sz w:val="18"/>
          <w:szCs w:val="18"/>
          <w:lang w:eastAsia="en-GB"/>
        </w:rPr>
        <w:t>3</w:t>
      </w:r>
      <w:r w:rsidRPr="004A618F">
        <w:rPr>
          <w:rFonts w:eastAsia="Times New Roman" w:cs="Tahoma"/>
          <w:sz w:val="18"/>
          <w:szCs w:val="18"/>
          <w:lang w:eastAsia="en-GB"/>
        </w:rPr>
        <w:t xml:space="preserve">.  EU/EEA countries reporting data on congenital syphilis are displayed in </w:t>
      </w:r>
      <w:r w:rsidR="00796449">
        <w:rPr>
          <w:rFonts w:eastAsia="Times New Roman" w:cs="Tahoma"/>
          <w:sz w:val="18"/>
          <w:szCs w:val="18"/>
          <w:lang w:eastAsia="en-GB"/>
        </w:rPr>
        <w:t>t</w:t>
      </w:r>
      <w:r w:rsidR="00776D29">
        <w:rPr>
          <w:rFonts w:eastAsia="Times New Roman" w:cs="Tahoma"/>
          <w:sz w:val="18"/>
          <w:szCs w:val="18"/>
          <w:lang w:eastAsia="en-GB"/>
        </w:rPr>
        <w:t xml:space="preserve">he </w:t>
      </w:r>
      <w:r w:rsidR="00796449">
        <w:rPr>
          <w:rFonts w:eastAsia="Times New Roman" w:cs="Tahoma"/>
          <w:sz w:val="18"/>
          <w:szCs w:val="18"/>
          <w:lang w:eastAsia="en-GB"/>
        </w:rPr>
        <w:t>t</w:t>
      </w:r>
      <w:r w:rsidR="00776D29">
        <w:rPr>
          <w:rFonts w:eastAsia="Times New Roman" w:cs="Tahoma"/>
          <w:sz w:val="18"/>
          <w:szCs w:val="18"/>
          <w:lang w:eastAsia="en-GB"/>
        </w:rPr>
        <w:t>able below</w:t>
      </w:r>
      <w:r w:rsidRPr="004A618F">
        <w:rPr>
          <w:rFonts w:eastAsia="Times New Roman" w:cs="Tahoma"/>
          <w:sz w:val="18"/>
          <w:szCs w:val="18"/>
          <w:lang w:eastAsia="en-GB"/>
        </w:rPr>
        <w:t xml:space="preserve">. For data quality, reporting completeness of variables used to calculate Surveillance Atlas indicators was analysed for reported, confirmed cases.  </w:t>
      </w:r>
    </w:p>
    <w:p w14:paraId="49475B48" w14:textId="77777777" w:rsidR="00415D40" w:rsidRPr="00524967" w:rsidRDefault="00415D40" w:rsidP="00415D40">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w:t>
      </w:r>
    </w:p>
    <w:p w14:paraId="5185A489" w14:textId="77777777" w:rsidR="00415D40" w:rsidRPr="00524967" w:rsidRDefault="00415D40" w:rsidP="00415D40">
      <w:pPr>
        <w:shd w:val="clear" w:color="auto" w:fill="FFFFFF"/>
        <w:jc w:val="both"/>
        <w:rPr>
          <w:rFonts w:eastAsia="Times New Roman" w:cs="Tahoma"/>
          <w:color w:val="333333"/>
          <w:szCs w:val="14"/>
          <w:lang w:eastAsia="en-GB"/>
        </w:rPr>
      </w:pPr>
      <w:r w:rsidRPr="00524967">
        <w:rPr>
          <w:rFonts w:eastAsia="Times New Roman" w:cs="Tahoma"/>
          <w:color w:val="333333"/>
          <w:sz w:val="18"/>
          <w:szCs w:val="18"/>
          <w:lang w:eastAsia="en-GB"/>
        </w:rPr>
        <w:t xml:space="preserve">The Surveillance Atlas indicators for data quality of confirmed </w:t>
      </w:r>
      <w:r>
        <w:rPr>
          <w:rFonts w:eastAsia="Times New Roman" w:cs="Tahoma"/>
          <w:color w:val="333333"/>
          <w:sz w:val="18"/>
          <w:szCs w:val="18"/>
          <w:lang w:eastAsia="en-GB"/>
        </w:rPr>
        <w:t>congenital syphilis</w:t>
      </w:r>
      <w:r w:rsidRPr="00524967">
        <w:rPr>
          <w:rFonts w:eastAsia="Times New Roman" w:cs="Tahoma"/>
          <w:color w:val="333333"/>
          <w:sz w:val="18"/>
          <w:szCs w:val="18"/>
          <w:lang w:eastAsia="en-GB"/>
        </w:rPr>
        <w:t xml:space="preserve"> cases are:</w:t>
      </w:r>
    </w:p>
    <w:p w14:paraId="0F05EB46" w14:textId="77777777" w:rsidR="00415D40" w:rsidRPr="004660C8" w:rsidRDefault="00415D40" w:rsidP="00415D40">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age (%</w:t>
      </w:r>
      <w:proofErr w:type="gramStart"/>
      <w:r w:rsidRPr="004660C8">
        <w:rPr>
          <w:rFonts w:cs="Tahoma"/>
          <w:sz w:val="18"/>
          <w:szCs w:val="18"/>
          <w:lang w:eastAsia="en-GB"/>
        </w:rPr>
        <w:t>);</w:t>
      </w:r>
      <w:proofErr w:type="gramEnd"/>
    </w:p>
    <w:p w14:paraId="711F8530" w14:textId="77777777" w:rsidR="00415D40" w:rsidRPr="004660C8" w:rsidRDefault="00415D40" w:rsidP="00415D40">
      <w:pPr>
        <w:pStyle w:val="ListParagraph"/>
        <w:numPr>
          <w:ilvl w:val="0"/>
          <w:numId w:val="8"/>
        </w:numPr>
        <w:shd w:val="clear" w:color="auto" w:fill="FFFFFF"/>
        <w:spacing w:line="264" w:lineRule="atLeast"/>
        <w:jc w:val="both"/>
        <w:rPr>
          <w:rFonts w:cs="Tahoma"/>
          <w:lang w:eastAsia="en-GB"/>
        </w:rPr>
      </w:pPr>
      <w:r w:rsidRPr="004660C8">
        <w:rPr>
          <w:rFonts w:cs="Tahoma"/>
          <w:sz w:val="18"/>
          <w:szCs w:val="18"/>
          <w:lang w:eastAsia="en-GB"/>
        </w:rPr>
        <w:t>Completeness gender (%</w:t>
      </w:r>
      <w:proofErr w:type="gramStart"/>
      <w:r w:rsidRPr="004660C8">
        <w:rPr>
          <w:rFonts w:cs="Tahoma"/>
          <w:sz w:val="18"/>
          <w:szCs w:val="18"/>
          <w:lang w:eastAsia="en-GB"/>
        </w:rPr>
        <w:t>);</w:t>
      </w:r>
      <w:proofErr w:type="gramEnd"/>
    </w:p>
    <w:p w14:paraId="61457B72" w14:textId="77777777" w:rsidR="00415D40" w:rsidRPr="00FE46DF" w:rsidRDefault="00415D40" w:rsidP="00415D40">
      <w:pPr>
        <w:pStyle w:val="EC-Title-6"/>
      </w:pPr>
      <w:bookmarkStart w:id="60" w:name="_Toc175577707"/>
      <w:r w:rsidRPr="00FE46DF">
        <w:t>Interpretation</w:t>
      </w:r>
      <w:bookmarkEnd w:id="60"/>
      <w:r w:rsidRPr="00FE46DF">
        <w:t xml:space="preserve"> </w:t>
      </w:r>
    </w:p>
    <w:p w14:paraId="419DABBE" w14:textId="01E06E79" w:rsidR="00415D40" w:rsidRDefault="00415D40" w:rsidP="00415D40">
      <w:pPr>
        <w:kinsoku w:val="0"/>
        <w:autoSpaceDE w:val="0"/>
        <w:autoSpaceDN w:val="0"/>
        <w:adjustRightInd w:val="0"/>
        <w:spacing w:after="120" w:line="200" w:lineRule="atLeast"/>
        <w:jc w:val="both"/>
      </w:pPr>
      <w:r>
        <w:rPr>
          <w:rFonts w:eastAsia="Arial Unicode MS" w:cs="Tahoma"/>
          <w:kern w:val="22"/>
          <w:sz w:val="18"/>
          <w:szCs w:val="18"/>
        </w:rPr>
        <w:t xml:space="preserve">The results shown in the Atlas </w:t>
      </w:r>
      <w:r w:rsidRPr="006B2F19">
        <w:rPr>
          <w:rFonts w:eastAsia="Arial Unicode MS" w:cs="Tahoma"/>
          <w:kern w:val="22"/>
          <w:sz w:val="18"/>
          <w:szCs w:val="18"/>
        </w:rPr>
        <w:t xml:space="preserve">should be interpreted with caution and </w:t>
      </w:r>
      <w:proofErr w:type="gramStart"/>
      <w:r w:rsidRPr="006B2F19">
        <w:rPr>
          <w:rFonts w:eastAsia="Arial Unicode MS" w:cs="Tahoma"/>
          <w:kern w:val="22"/>
          <w:sz w:val="18"/>
          <w:szCs w:val="18"/>
        </w:rPr>
        <w:t>taking into account</w:t>
      </w:r>
      <w:proofErr w:type="gramEnd"/>
      <w:r w:rsidRPr="006B2F19">
        <w:rPr>
          <w:rFonts w:eastAsia="Arial Unicode MS" w:cs="Tahoma"/>
          <w:kern w:val="22"/>
          <w:sz w:val="18"/>
          <w:szCs w:val="18"/>
        </w:rPr>
        <w:t xml:space="preserve"> data quality issues and differences </w:t>
      </w:r>
      <w:r>
        <w:rPr>
          <w:rFonts w:eastAsia="Arial Unicode MS" w:cs="Tahoma"/>
          <w:kern w:val="22"/>
          <w:sz w:val="18"/>
          <w:szCs w:val="18"/>
        </w:rPr>
        <w:t>between</w:t>
      </w:r>
      <w:r w:rsidRPr="006B2F19">
        <w:rPr>
          <w:rFonts w:eastAsia="Arial Unicode MS" w:cs="Tahoma"/>
          <w:kern w:val="22"/>
          <w:sz w:val="18"/>
          <w:szCs w:val="18"/>
        </w:rPr>
        <w:t xml:space="preserve"> Member State surveillance systems. </w:t>
      </w:r>
      <w:proofErr w:type="gramStart"/>
      <w:r>
        <w:rPr>
          <w:rFonts w:eastAsia="Arial Unicode MS" w:cs="Tahoma"/>
          <w:kern w:val="22"/>
          <w:sz w:val="18"/>
          <w:szCs w:val="18"/>
        </w:rPr>
        <w:t>P</w:t>
      </w:r>
      <w:r w:rsidRPr="006B2F19">
        <w:rPr>
          <w:rFonts w:eastAsia="Arial Unicode MS" w:cs="Tahoma"/>
          <w:kern w:val="22"/>
          <w:sz w:val="18"/>
          <w:szCs w:val="18"/>
        </w:rPr>
        <w:t>articular caution</w:t>
      </w:r>
      <w:proofErr w:type="gramEnd"/>
      <w:r w:rsidRPr="006B2F19">
        <w:rPr>
          <w:rFonts w:eastAsia="Arial Unicode MS" w:cs="Tahoma"/>
          <w:kern w:val="22"/>
          <w:sz w:val="18"/>
          <w:szCs w:val="18"/>
        </w:rPr>
        <w:t xml:space="preserve"> is required </w:t>
      </w:r>
      <w:r>
        <w:rPr>
          <w:rFonts w:eastAsia="Arial Unicode MS" w:cs="Tahoma"/>
          <w:kern w:val="22"/>
          <w:sz w:val="18"/>
          <w:szCs w:val="18"/>
        </w:rPr>
        <w:t xml:space="preserve">when completeness is rather low or varies between countries. In addition, under-ascertainment and </w:t>
      </w:r>
      <w:r w:rsidRPr="006B2F19">
        <w:rPr>
          <w:rFonts w:eastAsia="Arial Unicode MS" w:cs="Tahoma"/>
          <w:kern w:val="22"/>
          <w:sz w:val="18"/>
          <w:szCs w:val="18"/>
        </w:rPr>
        <w:t xml:space="preserve">under-reporting </w:t>
      </w:r>
      <w:r>
        <w:rPr>
          <w:rFonts w:eastAsia="Arial Unicode MS" w:cs="Tahoma"/>
          <w:kern w:val="22"/>
          <w:sz w:val="18"/>
          <w:szCs w:val="18"/>
        </w:rPr>
        <w:t>may</w:t>
      </w:r>
      <w:r w:rsidRPr="006B2F19">
        <w:rPr>
          <w:rFonts w:eastAsia="Arial Unicode MS" w:cs="Tahoma"/>
          <w:kern w:val="22"/>
          <w:sz w:val="18"/>
          <w:szCs w:val="18"/>
        </w:rPr>
        <w:t xml:space="preserve"> differ between countries depending on the characteristics of their surveillance systems. </w:t>
      </w:r>
      <w:r w:rsidR="002656F1" w:rsidRPr="002656F1">
        <w:rPr>
          <w:rFonts w:eastAsia="Arial Unicode MS" w:cs="Tahoma"/>
          <w:kern w:val="22"/>
          <w:sz w:val="18"/>
          <w:szCs w:val="18"/>
        </w:rPr>
        <w:t xml:space="preserve">Hence, any direct comparisons between countries without taking into account these limitations in the data </w:t>
      </w:r>
      <w:proofErr w:type="gramStart"/>
      <w:r w:rsidR="002656F1" w:rsidRPr="002656F1">
        <w:rPr>
          <w:rFonts w:eastAsia="Arial Unicode MS" w:cs="Tahoma"/>
          <w:kern w:val="22"/>
          <w:sz w:val="18"/>
          <w:szCs w:val="18"/>
        </w:rPr>
        <w:t>is</w:t>
      </w:r>
      <w:proofErr w:type="gramEnd"/>
      <w:r w:rsidR="002656F1" w:rsidRPr="002656F1">
        <w:rPr>
          <w:rFonts w:eastAsia="Arial Unicode MS" w:cs="Tahoma"/>
          <w:kern w:val="22"/>
          <w:sz w:val="18"/>
          <w:szCs w:val="18"/>
        </w:rPr>
        <w:t xml:space="preserve"> not advisable.</w:t>
      </w:r>
    </w:p>
    <w:p w14:paraId="58D25E01" w14:textId="77777777" w:rsidR="00415D40" w:rsidRDefault="00415D40" w:rsidP="00415D40">
      <w:pPr>
        <w:pStyle w:val="EC-Title-6"/>
        <w:keepNext/>
        <w:rPr>
          <w:rFonts w:cs="Tahoma"/>
          <w:color w:val="FF0000"/>
          <w:sz w:val="20"/>
          <w:szCs w:val="20"/>
        </w:rPr>
      </w:pPr>
      <w:bookmarkStart w:id="61" w:name="_Toc175577708"/>
      <w:r>
        <w:t>Reports published by ECDC on congenital syphilis</w:t>
      </w:r>
      <w:bookmarkEnd w:id="61"/>
      <w:r>
        <w:t xml:space="preserve"> </w:t>
      </w:r>
    </w:p>
    <w:p w14:paraId="196D3F3B" w14:textId="77777777" w:rsidR="00415D40" w:rsidRPr="007B34B1" w:rsidRDefault="00415D40" w:rsidP="00415D40">
      <w:pPr>
        <w:kinsoku w:val="0"/>
        <w:autoSpaceDE w:val="0"/>
        <w:autoSpaceDN w:val="0"/>
        <w:adjustRightInd w:val="0"/>
        <w:spacing w:after="120" w:line="200" w:lineRule="atLeast"/>
        <w:jc w:val="both"/>
        <w:rPr>
          <w:rFonts w:eastAsia="Arial Unicode MS"/>
          <w:kern w:val="22"/>
          <w:sz w:val="18"/>
          <w:szCs w:val="18"/>
        </w:rPr>
      </w:pPr>
      <w:r w:rsidRPr="007B34B1">
        <w:rPr>
          <w:rFonts w:eastAsia="Arial Unicode MS"/>
          <w:kern w:val="22"/>
          <w:sz w:val="18"/>
          <w:szCs w:val="18"/>
        </w:rPr>
        <w:t xml:space="preserve">More information is available in ECDC reports. </w:t>
      </w:r>
      <w:r>
        <w:rPr>
          <w:rFonts w:eastAsia="Arial Unicode MS"/>
          <w:kern w:val="22"/>
          <w:sz w:val="18"/>
          <w:szCs w:val="18"/>
        </w:rPr>
        <w:t>L</w:t>
      </w:r>
      <w:r w:rsidRPr="007B34B1">
        <w:rPr>
          <w:rFonts w:eastAsia="Arial Unicode MS"/>
          <w:kern w:val="22"/>
          <w:sz w:val="18"/>
          <w:szCs w:val="18"/>
        </w:rPr>
        <w:t xml:space="preserve">ater retrievals of data related to the same period may result in slightly different numbers as countries have the possibility to update data retrospectively. Therefore, the data presented in the reports might slightly differ </w:t>
      </w:r>
      <w:r>
        <w:rPr>
          <w:rFonts w:eastAsia="Arial Unicode MS"/>
          <w:kern w:val="22"/>
          <w:sz w:val="18"/>
          <w:szCs w:val="18"/>
        </w:rPr>
        <w:t>from</w:t>
      </w:r>
      <w:r w:rsidRPr="007B34B1">
        <w:rPr>
          <w:rFonts w:eastAsia="Arial Unicode MS"/>
          <w:kern w:val="22"/>
          <w:sz w:val="18"/>
          <w:szCs w:val="18"/>
        </w:rPr>
        <w:t xml:space="preserve"> th</w:t>
      </w:r>
      <w:r>
        <w:rPr>
          <w:rFonts w:eastAsia="Arial Unicode MS"/>
          <w:kern w:val="22"/>
          <w:sz w:val="18"/>
          <w:szCs w:val="18"/>
        </w:rPr>
        <w:t>ose</w:t>
      </w:r>
      <w:r w:rsidRPr="007B34B1">
        <w:rPr>
          <w:rFonts w:eastAsia="Arial Unicode MS"/>
          <w:kern w:val="22"/>
          <w:sz w:val="18"/>
          <w:szCs w:val="18"/>
        </w:rPr>
        <w:t xml:space="preserve"> presented in the Surveillance Atlas.</w:t>
      </w:r>
    </w:p>
    <w:p w14:paraId="24B8FB73" w14:textId="77777777" w:rsidR="00485338" w:rsidRDefault="00485338" w:rsidP="002656F1">
      <w:pPr>
        <w:shd w:val="clear" w:color="auto" w:fill="FFFFFF"/>
        <w:rPr>
          <w:rFonts w:cs="Tahoma"/>
          <w:b/>
          <w:bCs/>
          <w:color w:val="333333"/>
          <w:sz w:val="18"/>
          <w:szCs w:val="18"/>
        </w:rPr>
      </w:pPr>
    </w:p>
    <w:p w14:paraId="7F5521EB" w14:textId="5FA3A9E1" w:rsidR="002656F1" w:rsidRDefault="00415D40" w:rsidP="002656F1">
      <w:pPr>
        <w:shd w:val="clear" w:color="auto" w:fill="FFFFFF"/>
        <w:rPr>
          <w:rFonts w:cs="Tahoma"/>
          <w:b/>
          <w:bCs/>
          <w:color w:val="333333"/>
          <w:sz w:val="18"/>
          <w:szCs w:val="18"/>
        </w:rPr>
      </w:pPr>
      <w:r>
        <w:rPr>
          <w:rFonts w:cs="Tahoma"/>
          <w:b/>
          <w:bCs/>
          <w:color w:val="333333"/>
          <w:sz w:val="18"/>
          <w:szCs w:val="18"/>
        </w:rPr>
        <w:lastRenderedPageBreak/>
        <w:t>An</w:t>
      </w:r>
      <w:r w:rsidR="00333293">
        <w:rPr>
          <w:rFonts w:cs="Tahoma"/>
          <w:b/>
          <w:bCs/>
          <w:color w:val="333333"/>
          <w:sz w:val="18"/>
          <w:szCs w:val="18"/>
        </w:rPr>
        <w:t xml:space="preserve">nual epidemiological report </w:t>
      </w:r>
      <w:r w:rsidR="00576308">
        <w:rPr>
          <w:rFonts w:cs="Tahoma"/>
          <w:b/>
          <w:bCs/>
          <w:color w:val="333333"/>
          <w:sz w:val="18"/>
          <w:szCs w:val="18"/>
        </w:rPr>
        <w:t>201</w:t>
      </w:r>
      <w:r w:rsidR="005D2AE0">
        <w:rPr>
          <w:rFonts w:cs="Tahoma"/>
          <w:b/>
          <w:bCs/>
          <w:color w:val="333333"/>
          <w:sz w:val="18"/>
          <w:szCs w:val="18"/>
        </w:rPr>
        <w:t>9</w:t>
      </w:r>
      <w:r w:rsidR="00576308">
        <w:rPr>
          <w:rFonts w:cs="Tahoma"/>
          <w:b/>
          <w:bCs/>
          <w:color w:val="333333"/>
          <w:sz w:val="18"/>
          <w:szCs w:val="18"/>
        </w:rPr>
        <w:t xml:space="preserve"> </w:t>
      </w:r>
      <w:r>
        <w:rPr>
          <w:rFonts w:cs="Tahoma"/>
          <w:b/>
          <w:bCs/>
          <w:color w:val="333333"/>
          <w:sz w:val="18"/>
          <w:szCs w:val="18"/>
        </w:rPr>
        <w:t>– congenital syphilis</w:t>
      </w:r>
    </w:p>
    <w:p w14:paraId="0F22A70A" w14:textId="5F6392EF" w:rsidR="00FA6922" w:rsidRPr="002656F1" w:rsidRDefault="008E043B" w:rsidP="002656F1">
      <w:pPr>
        <w:kinsoku w:val="0"/>
        <w:autoSpaceDE w:val="0"/>
        <w:autoSpaceDN w:val="0"/>
        <w:adjustRightInd w:val="0"/>
        <w:spacing w:after="120" w:line="200" w:lineRule="atLeast"/>
        <w:jc w:val="both"/>
        <w:rPr>
          <w:rStyle w:val="Hyperlink"/>
          <w:rFonts w:eastAsia="Times New Roman"/>
          <w:color w:val="333333"/>
          <w:sz w:val="14"/>
          <w:szCs w:val="14"/>
          <w:u w:val="none"/>
          <w:lang w:eastAsia="en-GB"/>
        </w:rPr>
      </w:pPr>
      <w:r w:rsidRPr="008E043B">
        <w:rPr>
          <w:rStyle w:val="Hyperlink"/>
          <w:rFonts w:cs="Times New Roman"/>
        </w:rPr>
        <w:t>https://www.ecdc.europa.eu/sites/default/files/documents/congenital-syphilis-annual-epidemiological-report-2021.pdf</w:t>
      </w:r>
    </w:p>
    <w:p w14:paraId="3FB2B237" w14:textId="77777777" w:rsidR="00576308" w:rsidRDefault="00576308" w:rsidP="002656F1">
      <w:pPr>
        <w:shd w:val="clear" w:color="auto" w:fill="FFFFFF"/>
        <w:rPr>
          <w:rFonts w:cs="Tahoma"/>
          <w:b/>
          <w:bCs/>
          <w:color w:val="333333"/>
          <w:sz w:val="18"/>
          <w:szCs w:val="18"/>
        </w:rPr>
      </w:pPr>
      <w:r w:rsidRPr="0082165B">
        <w:rPr>
          <w:rFonts w:cs="Tahoma"/>
          <w:b/>
          <w:bCs/>
          <w:color w:val="333333"/>
          <w:sz w:val="18"/>
          <w:szCs w:val="18"/>
        </w:rPr>
        <w:t>Syphilis and congenital syphilis in Europe - A review of epidemiological trends (2007–2018) and options for response</w:t>
      </w:r>
    </w:p>
    <w:p w14:paraId="3039CDE6" w14:textId="3FA14991" w:rsidR="00415D40" w:rsidRDefault="00576308" w:rsidP="00415D40">
      <w:pPr>
        <w:spacing w:after="200" w:line="276" w:lineRule="auto"/>
        <w:rPr>
          <w:b/>
          <w:color w:val="69AE23"/>
          <w:sz w:val="26"/>
          <w:szCs w:val="26"/>
        </w:rPr>
      </w:pPr>
      <w:r w:rsidRPr="004A7779">
        <w:rPr>
          <w:rStyle w:val="Hyperlink"/>
        </w:rPr>
        <w:t>https://www.ecdc.europa.eu/en/publications-data/syphilis-and-congenital-syphilis-europe-review-epidemiological-trends-2007-2018</w:t>
      </w:r>
      <w:r w:rsidR="00415D40">
        <w:rPr>
          <w:b/>
          <w:color w:val="69AE23"/>
          <w:sz w:val="26"/>
          <w:szCs w:val="26"/>
        </w:rPr>
        <w:br w:type="page"/>
      </w:r>
    </w:p>
    <w:p w14:paraId="349CB6EA" w14:textId="45BD81B9" w:rsidR="00415D40" w:rsidRDefault="00415D40" w:rsidP="00FF49FF">
      <w:pPr>
        <w:pStyle w:val="EC-Title-6"/>
      </w:pPr>
      <w:bookmarkStart w:id="62" w:name="_Toc175577709"/>
      <w:r w:rsidRPr="00F015EE">
        <w:lastRenderedPageBreak/>
        <w:t xml:space="preserve">Surveillance systems overview, </w:t>
      </w:r>
      <w:r w:rsidR="00EF2689">
        <w:t xml:space="preserve">congenital syphilis, </w:t>
      </w:r>
      <w:r w:rsidR="000D37D6">
        <w:t>2023</w:t>
      </w:r>
      <w:bookmarkEnd w:id="62"/>
    </w:p>
    <w:p w14:paraId="621445E7" w14:textId="77777777" w:rsidR="00A07B1B" w:rsidRPr="00A07B1B" w:rsidRDefault="00A07B1B" w:rsidP="00A07B1B">
      <w:pPr>
        <w:pStyle w:val="EC-Para"/>
        <w:rPr>
          <w:lang w:eastAsia="en-US"/>
        </w:rPr>
      </w:pPr>
    </w:p>
    <w:p w14:paraId="16E1FFCC" w14:textId="63C2F8DB" w:rsidR="000B2C60" w:rsidRDefault="00A07B1B" w:rsidP="000B2C60">
      <w:pPr>
        <w:pStyle w:val="EC-Para"/>
        <w:rPr>
          <w:lang w:eastAsia="en-US"/>
        </w:rPr>
      </w:pPr>
      <w:r w:rsidRPr="00A07B1B">
        <w:drawing>
          <wp:inline distT="0" distB="0" distL="0" distR="0" wp14:anchorId="6C6B3561" wp14:editId="1E81905A">
            <wp:extent cx="5731510" cy="3634740"/>
            <wp:effectExtent l="0" t="0" r="2540" b="3810"/>
            <wp:docPr id="742207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634740"/>
                    </a:xfrm>
                    <a:prstGeom prst="rect">
                      <a:avLst/>
                    </a:prstGeom>
                    <a:noFill/>
                    <a:ln>
                      <a:noFill/>
                    </a:ln>
                  </pic:spPr>
                </pic:pic>
              </a:graphicData>
            </a:graphic>
          </wp:inline>
        </w:drawing>
      </w:r>
    </w:p>
    <w:p w14:paraId="3AB37A98" w14:textId="0502B629" w:rsidR="00343BC9" w:rsidRPr="00AB09C8" w:rsidRDefault="00343BC9" w:rsidP="00343BC9">
      <w:pPr>
        <w:rPr>
          <w:i/>
          <w:color w:val="000000" w:themeColor="text1"/>
        </w:rPr>
      </w:pPr>
      <w:r w:rsidRPr="00AB09C8">
        <w:rPr>
          <w:i/>
          <w:color w:val="000000" w:themeColor="text1"/>
        </w:rPr>
        <w:t>Note: Austria, Belgium,</w:t>
      </w:r>
      <w:r w:rsidR="0085173E" w:rsidRPr="00AB09C8">
        <w:rPr>
          <w:i/>
          <w:color w:val="000000" w:themeColor="text1"/>
        </w:rPr>
        <w:t xml:space="preserve"> Finland</w:t>
      </w:r>
      <w:r w:rsidRPr="00AB09C8">
        <w:rPr>
          <w:i/>
          <w:color w:val="000000" w:themeColor="text1"/>
        </w:rPr>
        <w:t xml:space="preserve"> and Netherlands do not report congenital syphilis surveillance data. </w:t>
      </w:r>
      <w:r w:rsidR="00031814">
        <w:rPr>
          <w:i/>
          <w:color w:val="000000" w:themeColor="text1"/>
        </w:rPr>
        <w:t xml:space="preserve">Ireland did not report data in 2021 and </w:t>
      </w:r>
      <w:r w:rsidRPr="00AB09C8">
        <w:rPr>
          <w:i/>
          <w:color w:val="000000" w:themeColor="text1"/>
        </w:rPr>
        <w:t xml:space="preserve">Greece did not report data </w:t>
      </w:r>
      <w:r w:rsidR="00AB09C8" w:rsidRPr="00AB09C8">
        <w:rPr>
          <w:i/>
          <w:color w:val="000000" w:themeColor="text1"/>
        </w:rPr>
        <w:t xml:space="preserve">since </w:t>
      </w:r>
      <w:r w:rsidRPr="00AB09C8">
        <w:rPr>
          <w:i/>
          <w:color w:val="000000" w:themeColor="text1"/>
        </w:rPr>
        <w:t>201</w:t>
      </w:r>
      <w:r w:rsidR="00F93A16" w:rsidRPr="00AB09C8">
        <w:rPr>
          <w:i/>
          <w:color w:val="000000" w:themeColor="text1"/>
        </w:rPr>
        <w:t>6</w:t>
      </w:r>
      <w:r w:rsidR="00AB09C8" w:rsidRPr="00AB09C8">
        <w:rPr>
          <w:i/>
          <w:color w:val="000000" w:themeColor="text1"/>
        </w:rPr>
        <w:t xml:space="preserve">. </w:t>
      </w:r>
    </w:p>
    <w:p w14:paraId="250001A0" w14:textId="77777777" w:rsidR="00415D40" w:rsidRPr="008927B0" w:rsidRDefault="00415D40" w:rsidP="00415D40">
      <w:pPr>
        <w:spacing w:after="200" w:line="276" w:lineRule="auto"/>
        <w:rPr>
          <w:b/>
          <w:bCs/>
          <w:color w:val="69AE23"/>
          <w:sz w:val="26"/>
          <w:szCs w:val="26"/>
          <w:lang w:eastAsia="en-US"/>
        </w:rPr>
      </w:pPr>
    </w:p>
    <w:p w14:paraId="79994488" w14:textId="7233C8F7" w:rsidR="00415D40" w:rsidRPr="009F7ABE" w:rsidRDefault="00415D40" w:rsidP="00F015EE">
      <w:pPr>
        <w:spacing w:after="200" w:line="276" w:lineRule="auto"/>
        <w:rPr>
          <w:b/>
          <w:bCs/>
          <w:color w:val="69AE23"/>
          <w:sz w:val="26"/>
          <w:szCs w:val="26"/>
          <w:lang w:eastAsia="en-US"/>
        </w:rPr>
      </w:pPr>
    </w:p>
    <w:sectPr w:rsidR="00415D40" w:rsidRPr="009F7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D0CF8" w14:textId="77777777" w:rsidR="00F63EBC" w:rsidRDefault="00F63EBC" w:rsidP="004B523C">
      <w:r>
        <w:separator/>
      </w:r>
    </w:p>
  </w:endnote>
  <w:endnote w:type="continuationSeparator" w:id="0">
    <w:p w14:paraId="73E6DBDE" w14:textId="77777777" w:rsidR="00F63EBC" w:rsidRDefault="00F63EBC" w:rsidP="004B523C">
      <w:r>
        <w:continuationSeparator/>
      </w:r>
    </w:p>
  </w:endnote>
  <w:endnote w:type="continuationNotice" w:id="1">
    <w:p w14:paraId="2B8FABBB" w14:textId="77777777" w:rsidR="00F63EBC" w:rsidRDefault="00F63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MetaPro-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7466C" w14:textId="77777777" w:rsidR="00F63EBC" w:rsidRDefault="00F63EBC" w:rsidP="004B523C">
      <w:r>
        <w:separator/>
      </w:r>
    </w:p>
  </w:footnote>
  <w:footnote w:type="continuationSeparator" w:id="0">
    <w:p w14:paraId="6BAB632C" w14:textId="77777777" w:rsidR="00F63EBC" w:rsidRDefault="00F63EBC" w:rsidP="004B523C">
      <w:r>
        <w:continuationSeparator/>
      </w:r>
    </w:p>
  </w:footnote>
  <w:footnote w:type="continuationNotice" w:id="1">
    <w:p w14:paraId="482AB907" w14:textId="77777777" w:rsidR="00F63EBC" w:rsidRDefault="00F63EBC"/>
  </w:footnote>
  <w:footnote w:id="2">
    <w:p w14:paraId="6D409A79" w14:textId="7AE21FCA" w:rsidR="00D66740" w:rsidRDefault="00D66740" w:rsidP="00665125">
      <w:pPr>
        <w:pStyle w:val="FootnoteText"/>
        <w:jc w:val="both"/>
        <w:rPr>
          <w:rFonts w:ascii="Tahoma" w:hAnsi="Tahoma" w:cs="Tahoma"/>
          <w:sz w:val="16"/>
          <w:szCs w:val="16"/>
          <w:lang w:val="en-GB"/>
        </w:rPr>
      </w:pPr>
      <w:r>
        <w:rPr>
          <w:rStyle w:val="FootnoteReference"/>
          <w:rFonts w:ascii="Tahoma" w:hAnsi="Tahoma" w:cs="Tahoma"/>
          <w:sz w:val="16"/>
          <w:szCs w:val="16"/>
        </w:rPr>
        <w:footnoteRef/>
      </w:r>
      <w:r>
        <w:rPr>
          <w:rFonts w:ascii="Tahoma" w:hAnsi="Tahoma" w:cs="Tahoma"/>
          <w:sz w:val="16"/>
          <w:szCs w:val="16"/>
        </w:rPr>
        <w:t xml:space="preserve"> </w:t>
      </w:r>
      <w:r w:rsidRPr="00665125">
        <w:rPr>
          <w:rFonts w:ascii="Tahoma" w:hAnsi="Tahoma" w:cs="Tahoma"/>
          <w:sz w:val="18"/>
          <w:shd w:val="clear" w:color="auto" w:fill="FFFFFF"/>
        </w:rPr>
        <w:t xml:space="preserve">Commission Implementing Decision </w:t>
      </w:r>
      <w:hyperlink r:id="rId1" w:anchor="page=15" w:history="1">
        <w:r w:rsidRPr="00665125">
          <w:rPr>
            <w:rStyle w:val="Hyperlink"/>
            <w:shd w:val="clear" w:color="auto" w:fill="FFFFFF"/>
          </w:rPr>
          <w:t>2018/945/EU</w:t>
        </w:r>
      </w:hyperlink>
      <w:r w:rsidRPr="00665125">
        <w:rPr>
          <w:rFonts w:ascii="Tahoma" w:hAnsi="Tahoma" w:cs="Tahoma"/>
          <w:sz w:val="18"/>
          <w:shd w:val="clear" w:color="auto" w:fill="FFFFFF"/>
        </w:rPr>
        <w:t xml:space="preserve"> of 22 June 201</w:t>
      </w:r>
      <w:r>
        <w:rPr>
          <w:rFonts w:ascii="Tahoma" w:hAnsi="Tahoma" w:cs="Tahoma"/>
          <w:sz w:val="18"/>
          <w:shd w:val="clear" w:color="auto" w:fill="FFFFFF"/>
        </w:rPr>
        <w:t xml:space="preserve">8 </w:t>
      </w:r>
      <w:r w:rsidRPr="00665125">
        <w:rPr>
          <w:rFonts w:ascii="Tahoma" w:hAnsi="Tahoma" w:cs="Tahoma"/>
          <w:sz w:val="18"/>
          <w:shd w:val="clear" w:color="auto" w:fill="FFFFFF"/>
        </w:rPr>
        <w:t>on the communicable diseases and related special health issues to be covered by epidemiological</w:t>
      </w:r>
      <w:r>
        <w:rPr>
          <w:rFonts w:ascii="Tahoma" w:hAnsi="Tahoma" w:cs="Tahoma"/>
          <w:sz w:val="18"/>
          <w:shd w:val="clear" w:color="auto" w:fill="FFFFFF"/>
        </w:rPr>
        <w:t xml:space="preserve"> </w:t>
      </w:r>
      <w:r w:rsidRPr="00665125">
        <w:rPr>
          <w:rFonts w:ascii="Tahoma" w:hAnsi="Tahoma" w:cs="Tahoma"/>
          <w:sz w:val="18"/>
          <w:shd w:val="clear" w:color="auto" w:fill="FFFFFF"/>
        </w:rPr>
        <w:t>surveillance as well as relevant case definitions</w:t>
      </w:r>
      <w:r>
        <w:rPr>
          <w:rFonts w:ascii="Tahoma" w:hAnsi="Tahoma" w:cs="Tahoma"/>
          <w:sz w:val="18"/>
          <w:shd w:val="clear" w:color="auto" w:fill="FFFFFF"/>
        </w:rPr>
        <w:t>.</w:t>
      </w:r>
    </w:p>
  </w:footnote>
  <w:footnote w:id="3">
    <w:p w14:paraId="6272FC08" w14:textId="77777777" w:rsidR="00D66740" w:rsidRDefault="00D66740" w:rsidP="00F52848">
      <w:pPr>
        <w:autoSpaceDE w:val="0"/>
        <w:autoSpaceDN w:val="0"/>
        <w:adjustRightInd w:val="0"/>
        <w:spacing w:after="80"/>
        <w:jc w:val="both"/>
        <w:rPr>
          <w:rFonts w:cs="Tahoma"/>
          <w:sz w:val="16"/>
          <w:szCs w:val="16"/>
        </w:rPr>
      </w:pPr>
      <w:r>
        <w:rPr>
          <w:rStyle w:val="FootnoteReference"/>
          <w:rFonts w:cs="Tahoma"/>
          <w:sz w:val="16"/>
          <w:szCs w:val="16"/>
        </w:rPr>
        <w:footnoteRef/>
      </w:r>
      <w:r>
        <w:rPr>
          <w:rFonts w:cs="Tahoma"/>
          <w:sz w:val="16"/>
          <w:szCs w:val="16"/>
        </w:rPr>
        <w:t xml:space="preserve"> </w:t>
      </w:r>
      <w:r w:rsidRPr="00E45FBB">
        <w:rPr>
          <w:rFonts w:eastAsiaTheme="minorEastAsia" w:cs="Tahoma"/>
          <w:sz w:val="18"/>
          <w:szCs w:val="18"/>
          <w:lang w:val="en-US" w:eastAsia="en-US" w:bidi="en-US"/>
        </w:rPr>
        <w:t>Available from</w:t>
      </w:r>
      <w:r w:rsidRPr="00E45FBB">
        <w:rPr>
          <w:rStyle w:val="Hyperlink"/>
          <w:rFonts w:eastAsiaTheme="minorEastAsia"/>
          <w:szCs w:val="18"/>
          <w:lang w:eastAsia="en-US" w:bidi="en-US"/>
        </w:rPr>
        <w:t xml:space="preserve">: </w:t>
      </w:r>
      <w:hyperlink r:id="rId2" w:history="1">
        <w:r w:rsidRPr="00E45FBB">
          <w:rPr>
            <w:rStyle w:val="Hyperlink"/>
            <w:rFonts w:eastAsiaTheme="minorEastAsia"/>
            <w:szCs w:val="18"/>
            <w:lang w:eastAsia="en-US" w:bidi="en-US"/>
          </w:rPr>
          <w:t>http://epp.eurostat.ec.europa.eu/portal/page/portal/eurostat/home/</w:t>
        </w:r>
      </w:hyperlink>
    </w:p>
  </w:footnote>
  <w:footnote w:id="4">
    <w:p w14:paraId="455D5F20" w14:textId="1352309B" w:rsidR="00D66740" w:rsidRPr="00A11F6B" w:rsidRDefault="00D66740" w:rsidP="00A11F6B">
      <w:pPr>
        <w:pStyle w:val="FootnoteText"/>
        <w:jc w:val="both"/>
        <w:rPr>
          <w:rFonts w:ascii="Tahoma" w:hAnsi="Tahoma" w:cs="Tahoma"/>
          <w:sz w:val="16"/>
          <w:szCs w:val="16"/>
          <w:lang w:val="en-GB"/>
        </w:rPr>
      </w:pPr>
      <w:r>
        <w:rPr>
          <w:rStyle w:val="FootnoteReference"/>
        </w:rPr>
        <w:footnoteRef/>
      </w:r>
      <w:r>
        <w:rPr>
          <w:rFonts w:ascii="Tahoma" w:hAnsi="Tahoma" w:cs="Tahoma"/>
          <w:sz w:val="16"/>
          <w:szCs w:val="16"/>
        </w:rPr>
        <w:t xml:space="preserve"> </w:t>
      </w:r>
      <w:r w:rsidRPr="00665125">
        <w:rPr>
          <w:rFonts w:ascii="Tahoma" w:hAnsi="Tahoma" w:cs="Tahoma"/>
          <w:sz w:val="18"/>
          <w:shd w:val="clear" w:color="auto" w:fill="FFFFFF"/>
        </w:rPr>
        <w:t xml:space="preserve">Commission Implementing Decision </w:t>
      </w:r>
      <w:hyperlink r:id="rId3" w:anchor="page=20" w:history="1">
        <w:r w:rsidRPr="00665125">
          <w:rPr>
            <w:rStyle w:val="Hyperlink"/>
            <w:shd w:val="clear" w:color="auto" w:fill="FFFFFF"/>
          </w:rPr>
          <w:t>2018/945/EU</w:t>
        </w:r>
      </w:hyperlink>
      <w:r w:rsidRPr="00665125">
        <w:rPr>
          <w:rFonts w:ascii="Tahoma" w:hAnsi="Tahoma" w:cs="Tahoma"/>
          <w:sz w:val="18"/>
          <w:shd w:val="clear" w:color="auto" w:fill="FFFFFF"/>
        </w:rPr>
        <w:t xml:space="preserve"> of 22 June 201</w:t>
      </w:r>
      <w:r>
        <w:rPr>
          <w:rFonts w:ascii="Tahoma" w:hAnsi="Tahoma" w:cs="Tahoma"/>
          <w:sz w:val="18"/>
          <w:shd w:val="clear" w:color="auto" w:fill="FFFFFF"/>
        </w:rPr>
        <w:t xml:space="preserve">8 </w:t>
      </w:r>
      <w:r w:rsidRPr="00665125">
        <w:rPr>
          <w:rFonts w:ascii="Tahoma" w:hAnsi="Tahoma" w:cs="Tahoma"/>
          <w:sz w:val="18"/>
          <w:shd w:val="clear" w:color="auto" w:fill="FFFFFF"/>
        </w:rPr>
        <w:t>on the communicable diseases and related special health issues to be covered by epidemiological</w:t>
      </w:r>
      <w:r>
        <w:rPr>
          <w:rFonts w:ascii="Tahoma" w:hAnsi="Tahoma" w:cs="Tahoma"/>
          <w:sz w:val="18"/>
          <w:shd w:val="clear" w:color="auto" w:fill="FFFFFF"/>
        </w:rPr>
        <w:t xml:space="preserve"> </w:t>
      </w:r>
      <w:r w:rsidRPr="00665125">
        <w:rPr>
          <w:rFonts w:ascii="Tahoma" w:hAnsi="Tahoma" w:cs="Tahoma"/>
          <w:sz w:val="18"/>
          <w:shd w:val="clear" w:color="auto" w:fill="FFFFFF"/>
        </w:rPr>
        <w:t>surveillance as well as relevant case definitions</w:t>
      </w:r>
      <w:r>
        <w:rPr>
          <w:rFonts w:ascii="Tahoma" w:hAnsi="Tahoma" w:cs="Tahoma"/>
          <w:sz w:val="18"/>
          <w:shd w:val="clear" w:color="auto" w:fill="FFFFFF"/>
        </w:rPr>
        <w:t>.</w:t>
      </w:r>
    </w:p>
  </w:footnote>
  <w:footnote w:id="5">
    <w:p w14:paraId="571156CB" w14:textId="77777777" w:rsidR="00D66740" w:rsidRDefault="00D66740" w:rsidP="004B523C">
      <w:pPr>
        <w:autoSpaceDE w:val="0"/>
        <w:autoSpaceDN w:val="0"/>
        <w:adjustRightInd w:val="0"/>
        <w:spacing w:after="80"/>
        <w:jc w:val="both"/>
        <w:rPr>
          <w:rFonts w:cs="Tahoma"/>
          <w:sz w:val="16"/>
          <w:szCs w:val="16"/>
        </w:rPr>
      </w:pPr>
      <w:r>
        <w:rPr>
          <w:rStyle w:val="FootnoteReference"/>
          <w:rFonts w:cs="Tahoma"/>
          <w:sz w:val="16"/>
          <w:szCs w:val="16"/>
        </w:rPr>
        <w:footnoteRef/>
      </w:r>
      <w:r>
        <w:rPr>
          <w:rFonts w:cs="Tahoma"/>
          <w:sz w:val="16"/>
          <w:szCs w:val="16"/>
        </w:rPr>
        <w:t xml:space="preserve"> </w:t>
      </w:r>
      <w:r w:rsidRPr="00C56103">
        <w:rPr>
          <w:rFonts w:eastAsiaTheme="minorEastAsia" w:cs="Tahoma"/>
          <w:sz w:val="18"/>
          <w:szCs w:val="18"/>
          <w:lang w:val="en-US" w:eastAsia="en-US" w:bidi="en-US"/>
        </w:rPr>
        <w:t>Available from</w:t>
      </w:r>
      <w:r w:rsidRPr="00C56103">
        <w:rPr>
          <w:rStyle w:val="Hyperlink"/>
          <w:rFonts w:eastAsiaTheme="minorEastAsia"/>
          <w:szCs w:val="18"/>
          <w:lang w:eastAsia="en-US" w:bidi="en-US"/>
        </w:rPr>
        <w:t xml:space="preserve">: </w:t>
      </w:r>
      <w:hyperlink r:id="rId4" w:history="1">
        <w:r w:rsidRPr="00C56103">
          <w:rPr>
            <w:rStyle w:val="Hyperlink"/>
            <w:rFonts w:eastAsiaTheme="minorEastAsia"/>
            <w:szCs w:val="18"/>
            <w:lang w:eastAsia="en-US" w:bidi="en-US"/>
          </w:rPr>
          <w:t>http://epp.eurostat.ec.europa.eu/portal/page/portal/eurostat/home/</w:t>
        </w:r>
      </w:hyperlink>
    </w:p>
  </w:footnote>
  <w:footnote w:id="6">
    <w:p w14:paraId="5BF2EE6E" w14:textId="77777777" w:rsidR="005A25A2" w:rsidRDefault="005A25A2" w:rsidP="005A25A2">
      <w:pPr>
        <w:pStyle w:val="FootnoteText"/>
        <w:jc w:val="both"/>
        <w:rPr>
          <w:rFonts w:ascii="Tahoma" w:hAnsi="Tahoma" w:cs="Tahoma"/>
          <w:sz w:val="16"/>
          <w:szCs w:val="16"/>
          <w:lang w:val="en-GB"/>
        </w:rPr>
      </w:pPr>
      <w:r>
        <w:rPr>
          <w:rStyle w:val="FootnoteReference"/>
          <w:rFonts w:ascii="Tahoma" w:hAnsi="Tahoma" w:cs="Tahoma"/>
          <w:sz w:val="16"/>
          <w:szCs w:val="16"/>
        </w:rPr>
        <w:footnoteRef/>
      </w:r>
      <w:r>
        <w:rPr>
          <w:rFonts w:ascii="Tahoma" w:hAnsi="Tahoma" w:cs="Tahoma"/>
          <w:sz w:val="16"/>
          <w:szCs w:val="16"/>
        </w:rPr>
        <w:t xml:space="preserve"> </w:t>
      </w:r>
      <w:r w:rsidRPr="00665125">
        <w:rPr>
          <w:rFonts w:ascii="Tahoma" w:hAnsi="Tahoma" w:cs="Tahoma"/>
          <w:sz w:val="18"/>
          <w:shd w:val="clear" w:color="auto" w:fill="FFFFFF"/>
        </w:rPr>
        <w:t xml:space="preserve">Commission Implementing Decision </w:t>
      </w:r>
      <w:hyperlink r:id="rId5" w:anchor="page=43" w:history="1">
        <w:r w:rsidRPr="00665125">
          <w:rPr>
            <w:rStyle w:val="Hyperlink"/>
            <w:shd w:val="clear" w:color="auto" w:fill="FFFFFF"/>
          </w:rPr>
          <w:t>2018/945/EU</w:t>
        </w:r>
      </w:hyperlink>
      <w:r w:rsidRPr="00665125">
        <w:rPr>
          <w:rFonts w:ascii="Tahoma" w:hAnsi="Tahoma" w:cs="Tahoma"/>
          <w:sz w:val="18"/>
          <w:shd w:val="clear" w:color="auto" w:fill="FFFFFF"/>
        </w:rPr>
        <w:t xml:space="preserve"> of 22 June 201</w:t>
      </w:r>
      <w:r>
        <w:rPr>
          <w:rFonts w:ascii="Tahoma" w:hAnsi="Tahoma" w:cs="Tahoma"/>
          <w:sz w:val="18"/>
          <w:shd w:val="clear" w:color="auto" w:fill="FFFFFF"/>
        </w:rPr>
        <w:t xml:space="preserve">8 </w:t>
      </w:r>
      <w:r w:rsidRPr="00665125">
        <w:rPr>
          <w:rFonts w:ascii="Tahoma" w:hAnsi="Tahoma" w:cs="Tahoma"/>
          <w:sz w:val="18"/>
          <w:shd w:val="clear" w:color="auto" w:fill="FFFFFF"/>
        </w:rPr>
        <w:t>on the communicable diseases and related special health issues to be covered by epidemiological</w:t>
      </w:r>
      <w:r>
        <w:rPr>
          <w:rFonts w:ascii="Tahoma" w:hAnsi="Tahoma" w:cs="Tahoma"/>
          <w:sz w:val="18"/>
          <w:shd w:val="clear" w:color="auto" w:fill="FFFFFF"/>
        </w:rPr>
        <w:t xml:space="preserve"> </w:t>
      </w:r>
      <w:r w:rsidRPr="00665125">
        <w:rPr>
          <w:rFonts w:ascii="Tahoma" w:hAnsi="Tahoma" w:cs="Tahoma"/>
          <w:sz w:val="18"/>
          <w:shd w:val="clear" w:color="auto" w:fill="FFFFFF"/>
        </w:rPr>
        <w:t>surveillance as well as relevant case definitions</w:t>
      </w:r>
    </w:p>
  </w:footnote>
  <w:footnote w:id="7">
    <w:p w14:paraId="11B1D1CC" w14:textId="77777777" w:rsidR="005A25A2" w:rsidRPr="007D3B83" w:rsidRDefault="005A25A2" w:rsidP="005A25A2">
      <w:pPr>
        <w:autoSpaceDE w:val="0"/>
        <w:autoSpaceDN w:val="0"/>
        <w:adjustRightInd w:val="0"/>
        <w:spacing w:after="80"/>
        <w:jc w:val="both"/>
        <w:rPr>
          <w:rFonts w:cs="Tahoma"/>
          <w:sz w:val="18"/>
          <w:szCs w:val="18"/>
        </w:rPr>
      </w:pPr>
      <w:r w:rsidRPr="007D3B83">
        <w:rPr>
          <w:rStyle w:val="FootnoteReference"/>
          <w:rFonts w:cs="Tahoma"/>
          <w:sz w:val="18"/>
          <w:szCs w:val="18"/>
        </w:rPr>
        <w:footnoteRef/>
      </w:r>
      <w:r w:rsidRPr="007D3B83">
        <w:rPr>
          <w:rFonts w:cs="Tahoma"/>
          <w:sz w:val="18"/>
          <w:szCs w:val="18"/>
        </w:rPr>
        <w:t xml:space="preserve"> </w:t>
      </w:r>
      <w:r w:rsidRPr="007D3B83">
        <w:rPr>
          <w:rFonts w:eastAsiaTheme="minorEastAsia" w:cs="Tahoma"/>
          <w:sz w:val="18"/>
          <w:szCs w:val="18"/>
          <w:lang w:val="en-US" w:eastAsia="en-US" w:bidi="en-US"/>
        </w:rPr>
        <w:t>Available from</w:t>
      </w:r>
      <w:r w:rsidRPr="007D3B83">
        <w:rPr>
          <w:rStyle w:val="Hyperlink"/>
          <w:rFonts w:eastAsiaTheme="minorEastAsia"/>
          <w:szCs w:val="18"/>
          <w:lang w:eastAsia="en-US" w:bidi="en-US"/>
        </w:rPr>
        <w:t xml:space="preserve">: </w:t>
      </w:r>
      <w:hyperlink r:id="rId6" w:history="1">
        <w:r w:rsidRPr="007D3B83">
          <w:rPr>
            <w:rStyle w:val="Hyperlink"/>
            <w:rFonts w:eastAsiaTheme="minorEastAsia"/>
            <w:szCs w:val="18"/>
            <w:lang w:eastAsia="en-US" w:bidi="en-US"/>
          </w:rPr>
          <w:t>http://epp.eurostat.ec.europa.eu/portal/page/portal/eurostat/home/</w:t>
        </w:r>
      </w:hyperlink>
    </w:p>
  </w:footnote>
  <w:footnote w:id="8">
    <w:p w14:paraId="453D66ED" w14:textId="49FD11E6" w:rsidR="00D66740" w:rsidRDefault="00D66740" w:rsidP="00415D40">
      <w:pPr>
        <w:pStyle w:val="FootnoteText"/>
        <w:jc w:val="both"/>
        <w:rPr>
          <w:rFonts w:ascii="Tahoma" w:hAnsi="Tahoma" w:cs="Tahoma"/>
          <w:sz w:val="16"/>
          <w:szCs w:val="16"/>
          <w:lang w:val="en-GB"/>
        </w:rPr>
      </w:pPr>
      <w:r>
        <w:rPr>
          <w:rStyle w:val="FootnoteReference"/>
          <w:rFonts w:ascii="Tahoma" w:hAnsi="Tahoma" w:cs="Tahoma"/>
          <w:sz w:val="16"/>
          <w:szCs w:val="16"/>
        </w:rPr>
        <w:footnoteRef/>
      </w:r>
      <w:r>
        <w:rPr>
          <w:rFonts w:ascii="Tahoma" w:hAnsi="Tahoma" w:cs="Tahoma"/>
          <w:sz w:val="16"/>
          <w:szCs w:val="16"/>
        </w:rPr>
        <w:t xml:space="preserve"> </w:t>
      </w:r>
      <w:r w:rsidRPr="00665125">
        <w:rPr>
          <w:rFonts w:ascii="Tahoma" w:hAnsi="Tahoma" w:cs="Tahoma"/>
          <w:sz w:val="18"/>
          <w:shd w:val="clear" w:color="auto" w:fill="FFFFFF"/>
        </w:rPr>
        <w:t xml:space="preserve">Commission Implementing Decision </w:t>
      </w:r>
      <w:hyperlink r:id="rId7" w:anchor="page=15" w:history="1">
        <w:r w:rsidRPr="00665125">
          <w:rPr>
            <w:rStyle w:val="Hyperlink"/>
            <w:shd w:val="clear" w:color="auto" w:fill="FFFFFF"/>
          </w:rPr>
          <w:t>2018/945/EU</w:t>
        </w:r>
      </w:hyperlink>
      <w:r w:rsidRPr="00665125">
        <w:rPr>
          <w:rFonts w:ascii="Tahoma" w:hAnsi="Tahoma" w:cs="Tahoma"/>
          <w:sz w:val="18"/>
          <w:shd w:val="clear" w:color="auto" w:fill="FFFFFF"/>
        </w:rPr>
        <w:t xml:space="preserve"> of 22 June 201</w:t>
      </w:r>
      <w:r>
        <w:rPr>
          <w:rFonts w:ascii="Tahoma" w:hAnsi="Tahoma" w:cs="Tahoma"/>
          <w:sz w:val="18"/>
          <w:shd w:val="clear" w:color="auto" w:fill="FFFFFF"/>
        </w:rPr>
        <w:t xml:space="preserve">8 </w:t>
      </w:r>
      <w:r w:rsidRPr="00665125">
        <w:rPr>
          <w:rFonts w:ascii="Tahoma" w:hAnsi="Tahoma" w:cs="Tahoma"/>
          <w:sz w:val="18"/>
          <w:shd w:val="clear" w:color="auto" w:fill="FFFFFF"/>
        </w:rPr>
        <w:t>on the communicable diseases and related special health issues to be covered by epidemiological</w:t>
      </w:r>
      <w:r>
        <w:rPr>
          <w:rFonts w:ascii="Tahoma" w:hAnsi="Tahoma" w:cs="Tahoma"/>
          <w:sz w:val="18"/>
          <w:shd w:val="clear" w:color="auto" w:fill="FFFFFF"/>
        </w:rPr>
        <w:t xml:space="preserve"> </w:t>
      </w:r>
      <w:r w:rsidRPr="00665125">
        <w:rPr>
          <w:rFonts w:ascii="Tahoma" w:hAnsi="Tahoma" w:cs="Tahoma"/>
          <w:sz w:val="18"/>
          <w:shd w:val="clear" w:color="auto" w:fill="FFFFFF"/>
        </w:rPr>
        <w:t>surveillance as well as relevant case definitions</w:t>
      </w:r>
      <w:r>
        <w:rPr>
          <w:rFonts w:ascii="Tahoma" w:hAnsi="Tahoma" w:cs="Tahoma"/>
          <w:sz w:val="18"/>
          <w:shd w:val="clear" w:color="auto" w:fill="FFFFFF"/>
        </w:rPr>
        <w:t>.</w:t>
      </w:r>
    </w:p>
  </w:footnote>
  <w:footnote w:id="9">
    <w:p w14:paraId="5FA258C1" w14:textId="77777777" w:rsidR="00D66740" w:rsidRDefault="00D66740" w:rsidP="00415D40">
      <w:pPr>
        <w:autoSpaceDE w:val="0"/>
        <w:autoSpaceDN w:val="0"/>
        <w:adjustRightInd w:val="0"/>
        <w:spacing w:after="80"/>
        <w:jc w:val="both"/>
        <w:rPr>
          <w:rFonts w:cs="Tahoma"/>
          <w:sz w:val="16"/>
          <w:szCs w:val="16"/>
        </w:rPr>
      </w:pPr>
      <w:r>
        <w:rPr>
          <w:rStyle w:val="FootnoteReference"/>
          <w:rFonts w:cs="Tahoma"/>
          <w:sz w:val="16"/>
          <w:szCs w:val="16"/>
        </w:rPr>
        <w:footnoteRef/>
      </w:r>
      <w:r>
        <w:rPr>
          <w:rFonts w:cs="Tahoma"/>
          <w:sz w:val="16"/>
          <w:szCs w:val="16"/>
        </w:rPr>
        <w:t xml:space="preserve"> </w:t>
      </w:r>
      <w:r w:rsidRPr="00CC49D5">
        <w:rPr>
          <w:rFonts w:eastAsiaTheme="minorEastAsia" w:cs="Tahoma"/>
          <w:sz w:val="18"/>
          <w:szCs w:val="18"/>
          <w:lang w:val="en-US" w:eastAsia="en-US" w:bidi="en-US"/>
        </w:rPr>
        <w:t>Available from</w:t>
      </w:r>
      <w:r w:rsidRPr="00CC49D5">
        <w:rPr>
          <w:rStyle w:val="Hyperlink"/>
          <w:rFonts w:eastAsiaTheme="minorEastAsia"/>
          <w:szCs w:val="18"/>
          <w:lang w:eastAsia="en-US" w:bidi="en-US"/>
        </w:rPr>
        <w:t xml:space="preserve">: </w:t>
      </w:r>
      <w:hyperlink r:id="rId8" w:history="1">
        <w:r w:rsidRPr="00CC49D5">
          <w:rPr>
            <w:rStyle w:val="Hyperlink"/>
            <w:rFonts w:eastAsiaTheme="minorEastAsia"/>
            <w:szCs w:val="18"/>
            <w:lang w:eastAsia="en-US" w:bidi="en-US"/>
          </w:rPr>
          <w:t>http://epp.eurostat.ec.europa.eu/portal/page/portal/eurostat/home/</w:t>
        </w:r>
      </w:hyperlink>
    </w:p>
  </w:footnote>
  <w:footnote w:id="10">
    <w:p w14:paraId="0C4B1279" w14:textId="780AE70E" w:rsidR="00D66740" w:rsidRDefault="00D66740" w:rsidP="00415D40">
      <w:pPr>
        <w:pStyle w:val="FootnoteText"/>
        <w:jc w:val="both"/>
        <w:rPr>
          <w:rFonts w:ascii="Tahoma" w:hAnsi="Tahoma" w:cs="Tahoma"/>
          <w:sz w:val="16"/>
          <w:szCs w:val="16"/>
          <w:lang w:val="en-GB"/>
        </w:rPr>
      </w:pPr>
      <w:r>
        <w:rPr>
          <w:rStyle w:val="FootnoteReference"/>
          <w:rFonts w:ascii="Tahoma" w:hAnsi="Tahoma" w:cs="Tahoma"/>
          <w:sz w:val="16"/>
          <w:szCs w:val="16"/>
        </w:rPr>
        <w:footnoteRef/>
      </w:r>
      <w:r>
        <w:rPr>
          <w:rFonts w:ascii="Tahoma" w:hAnsi="Tahoma" w:cs="Tahoma"/>
          <w:sz w:val="16"/>
          <w:szCs w:val="16"/>
        </w:rPr>
        <w:t xml:space="preserve"> </w:t>
      </w:r>
      <w:r w:rsidRPr="00665125">
        <w:rPr>
          <w:rFonts w:ascii="Tahoma" w:hAnsi="Tahoma" w:cs="Tahoma"/>
          <w:sz w:val="18"/>
          <w:shd w:val="clear" w:color="auto" w:fill="FFFFFF"/>
        </w:rPr>
        <w:t xml:space="preserve">Commission Implementing Decision </w:t>
      </w:r>
      <w:hyperlink r:id="rId9" w:anchor="page=43" w:history="1">
        <w:r w:rsidRPr="00665125">
          <w:rPr>
            <w:rStyle w:val="Hyperlink"/>
            <w:shd w:val="clear" w:color="auto" w:fill="FFFFFF"/>
          </w:rPr>
          <w:t>2018/945/EU</w:t>
        </w:r>
      </w:hyperlink>
      <w:r w:rsidRPr="00665125">
        <w:rPr>
          <w:rFonts w:ascii="Tahoma" w:hAnsi="Tahoma" w:cs="Tahoma"/>
          <w:sz w:val="18"/>
          <w:shd w:val="clear" w:color="auto" w:fill="FFFFFF"/>
        </w:rPr>
        <w:t xml:space="preserve"> of 22 June 201</w:t>
      </w:r>
      <w:r>
        <w:rPr>
          <w:rFonts w:ascii="Tahoma" w:hAnsi="Tahoma" w:cs="Tahoma"/>
          <w:sz w:val="18"/>
          <w:shd w:val="clear" w:color="auto" w:fill="FFFFFF"/>
        </w:rPr>
        <w:t xml:space="preserve">8 </w:t>
      </w:r>
      <w:r w:rsidRPr="00665125">
        <w:rPr>
          <w:rFonts w:ascii="Tahoma" w:hAnsi="Tahoma" w:cs="Tahoma"/>
          <w:sz w:val="18"/>
          <w:shd w:val="clear" w:color="auto" w:fill="FFFFFF"/>
        </w:rPr>
        <w:t>on the communicable diseases and related special health issues to be covered by epidemiological</w:t>
      </w:r>
      <w:r>
        <w:rPr>
          <w:rFonts w:ascii="Tahoma" w:hAnsi="Tahoma" w:cs="Tahoma"/>
          <w:sz w:val="18"/>
          <w:shd w:val="clear" w:color="auto" w:fill="FFFFFF"/>
        </w:rPr>
        <w:t xml:space="preserve"> </w:t>
      </w:r>
      <w:r w:rsidRPr="00665125">
        <w:rPr>
          <w:rFonts w:ascii="Tahoma" w:hAnsi="Tahoma" w:cs="Tahoma"/>
          <w:sz w:val="18"/>
          <w:shd w:val="clear" w:color="auto" w:fill="FFFFFF"/>
        </w:rPr>
        <w:t>surveillance as well as relevant case definitions</w:t>
      </w:r>
      <w:r>
        <w:rPr>
          <w:rFonts w:ascii="Tahoma" w:hAnsi="Tahoma" w:cs="Tahoma"/>
          <w:sz w:val="18"/>
          <w:shd w:val="clear" w:color="auto" w:fill="FFFFFF"/>
        </w:rPr>
        <w:t>.</w:t>
      </w:r>
    </w:p>
  </w:footnote>
  <w:footnote w:id="11">
    <w:p w14:paraId="37105A0A" w14:textId="77777777" w:rsidR="00D66740" w:rsidRPr="00214839" w:rsidRDefault="00D66740" w:rsidP="00415D40">
      <w:pPr>
        <w:autoSpaceDE w:val="0"/>
        <w:autoSpaceDN w:val="0"/>
        <w:adjustRightInd w:val="0"/>
        <w:spacing w:after="80"/>
        <w:jc w:val="both"/>
        <w:rPr>
          <w:rFonts w:cs="Tahoma"/>
          <w:sz w:val="18"/>
          <w:szCs w:val="18"/>
        </w:rPr>
      </w:pPr>
      <w:r w:rsidRPr="00214839">
        <w:rPr>
          <w:rStyle w:val="FootnoteReference"/>
          <w:rFonts w:cs="Tahoma"/>
          <w:sz w:val="18"/>
          <w:szCs w:val="18"/>
        </w:rPr>
        <w:footnoteRef/>
      </w:r>
      <w:r w:rsidRPr="00214839">
        <w:rPr>
          <w:rFonts w:cs="Tahoma"/>
          <w:sz w:val="18"/>
          <w:szCs w:val="18"/>
        </w:rPr>
        <w:t xml:space="preserve"> </w:t>
      </w:r>
      <w:r w:rsidRPr="00214839">
        <w:rPr>
          <w:rFonts w:eastAsiaTheme="minorEastAsia" w:cs="Tahoma"/>
          <w:sz w:val="18"/>
          <w:szCs w:val="18"/>
          <w:lang w:val="en-US" w:eastAsia="en-US" w:bidi="en-US"/>
        </w:rPr>
        <w:t>Available from</w:t>
      </w:r>
      <w:r w:rsidRPr="00214839">
        <w:rPr>
          <w:rStyle w:val="Hyperlink"/>
          <w:rFonts w:eastAsiaTheme="minorEastAsia"/>
          <w:szCs w:val="18"/>
          <w:lang w:eastAsia="en-US" w:bidi="en-US"/>
        </w:rPr>
        <w:t xml:space="preserve">: </w:t>
      </w:r>
      <w:hyperlink r:id="rId10" w:history="1">
        <w:r w:rsidRPr="00214839">
          <w:rPr>
            <w:rStyle w:val="Hyperlink"/>
            <w:rFonts w:eastAsiaTheme="minorEastAsia"/>
            <w:szCs w:val="18"/>
            <w:lang w:eastAsia="en-US" w:bidi="en-US"/>
          </w:rPr>
          <w:t>http://epp.eurostat.ec.europa.eu/portal/page/portal/eurostat/home/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57A6"/>
    <w:multiLevelType w:val="hybridMultilevel"/>
    <w:tmpl w:val="A6F0CD92"/>
    <w:lvl w:ilvl="0" w:tplc="B21ED530">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E0977"/>
    <w:multiLevelType w:val="hybridMultilevel"/>
    <w:tmpl w:val="2910B566"/>
    <w:lvl w:ilvl="0" w:tplc="4EB27418">
      <w:numFmt w:val="bullet"/>
      <w:lvlText w:val="-"/>
      <w:lvlJc w:val="left"/>
      <w:pPr>
        <w:ind w:left="1069" w:hanging="360"/>
      </w:pPr>
      <w:rPr>
        <w:rFonts w:ascii="Tahoma" w:eastAsia="Arial Unicode MS" w:hAnsi="Tahoma" w:cs="Tahoma"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15:restartNumberingAfterBreak="0">
    <w:nsid w:val="0F4326DC"/>
    <w:multiLevelType w:val="hybridMultilevel"/>
    <w:tmpl w:val="DDF48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90CDE"/>
    <w:multiLevelType w:val="multilevel"/>
    <w:tmpl w:val="B47CA810"/>
    <w:styleLink w:val="ecl-Bullets"/>
    <w:lvl w:ilvl="0">
      <w:start w:val="1"/>
      <w:numFmt w:val="bullet"/>
      <w:pStyle w:val="ListBullet"/>
      <w:lvlText w:val=""/>
      <w:lvlJc w:val="left"/>
      <w:pPr>
        <w:tabs>
          <w:tab w:val="num" w:pos="510"/>
        </w:tabs>
        <w:ind w:left="510" w:hanging="397"/>
      </w:pPr>
      <w:rPr>
        <w:rFonts w:ascii="Symbol" w:hAnsi="Symbol" w:hint="default"/>
        <w:color w:val="auto"/>
        <w:sz w:val="20"/>
      </w:rPr>
    </w:lvl>
    <w:lvl w:ilvl="1">
      <w:start w:val="1"/>
      <w:numFmt w:val="bullet"/>
      <w:pStyle w:val="ListBullet2"/>
      <w:lvlText w:val=""/>
      <w:lvlJc w:val="left"/>
      <w:pPr>
        <w:tabs>
          <w:tab w:val="num" w:pos="1021"/>
        </w:tabs>
        <w:ind w:left="1021" w:hanging="397"/>
      </w:pPr>
      <w:rPr>
        <w:rFonts w:ascii="Symbol" w:hAnsi="Symbol" w:hint="default"/>
        <w:color w:val="666666"/>
        <w:sz w:val="20"/>
      </w:rPr>
    </w:lvl>
    <w:lvl w:ilvl="2">
      <w:start w:val="1"/>
      <w:numFmt w:val="bullet"/>
      <w:pStyle w:val="ListBullet3"/>
      <w:lvlText w:val="-"/>
      <w:lvlJc w:val="left"/>
      <w:pPr>
        <w:tabs>
          <w:tab w:val="num" w:pos="1531"/>
        </w:tabs>
        <w:ind w:left="1531" w:hanging="397"/>
      </w:pPr>
      <w:rPr>
        <w:rFonts w:ascii="Tahoma" w:hAnsi="Tahoma" w:cs="Times New Roman" w:hint="default"/>
        <w:b w:val="0"/>
        <w:color w:val="333333"/>
        <w:sz w:val="20"/>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
      <w:lvlJc w:val="left"/>
      <w:pPr>
        <w:tabs>
          <w:tab w:val="num" w:pos="340"/>
        </w:tabs>
        <w:ind w:left="340" w:hanging="283"/>
      </w:pPr>
      <w:rPr>
        <w:rFonts w:ascii="Wingdings 2" w:hAnsi="Wingdings 2" w:hint="default"/>
        <w:b w:val="0"/>
        <w:color w:val="auto"/>
        <w:sz w:val="18"/>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3842727"/>
    <w:multiLevelType w:val="hybridMultilevel"/>
    <w:tmpl w:val="6F1849F2"/>
    <w:lvl w:ilvl="0" w:tplc="B21ED5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AA3C9D"/>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CE1187"/>
    <w:multiLevelType w:val="hybridMultilevel"/>
    <w:tmpl w:val="ECD89C3A"/>
    <w:lvl w:ilvl="0" w:tplc="B21ED5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61E95"/>
    <w:multiLevelType w:val="hybridMultilevel"/>
    <w:tmpl w:val="F3C44878"/>
    <w:lvl w:ilvl="0" w:tplc="B21ED5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F1E2E4E"/>
    <w:multiLevelType w:val="hybridMultilevel"/>
    <w:tmpl w:val="554EF20A"/>
    <w:lvl w:ilvl="0" w:tplc="B21ED530">
      <w:numFmt w:val="bullet"/>
      <w:lvlText w:val="-"/>
      <w:lvlJc w:val="left"/>
      <w:pPr>
        <w:ind w:left="1080" w:hanging="360"/>
      </w:pPr>
      <w:rPr>
        <w:rFonts w:ascii="Calibri" w:eastAsiaTheme="minorHAnsi" w:hAnsi="Calibri" w:cstheme="minorBidi" w:hint="default"/>
      </w:rPr>
    </w:lvl>
    <w:lvl w:ilvl="1" w:tplc="B21ED530">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BC3E7B"/>
    <w:multiLevelType w:val="hybridMultilevel"/>
    <w:tmpl w:val="78DC2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D091959"/>
    <w:multiLevelType w:val="hybridMultilevel"/>
    <w:tmpl w:val="E33AEAAC"/>
    <w:lvl w:ilvl="0" w:tplc="62E0C7C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E68C7"/>
    <w:multiLevelType w:val="hybridMultilevel"/>
    <w:tmpl w:val="90BC1A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039AE"/>
    <w:multiLevelType w:val="hybridMultilevel"/>
    <w:tmpl w:val="1E840578"/>
    <w:lvl w:ilvl="0" w:tplc="B21ED53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807DDF"/>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464E2A"/>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D1A2063"/>
    <w:multiLevelType w:val="hybridMultilevel"/>
    <w:tmpl w:val="CF849F1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5572595">
    <w:abstractNumId w:val="5"/>
    <w:lvlOverride w:ilvl="0">
      <w:startOverride w:val="1"/>
    </w:lvlOverride>
    <w:lvlOverride w:ilvl="1"/>
    <w:lvlOverride w:ilvl="2"/>
    <w:lvlOverride w:ilvl="3"/>
    <w:lvlOverride w:ilvl="4"/>
    <w:lvlOverride w:ilvl="5"/>
    <w:lvlOverride w:ilvl="6"/>
    <w:lvlOverride w:ilvl="7"/>
    <w:lvlOverride w:ilvl="8"/>
  </w:num>
  <w:num w:numId="2" w16cid:durableId="1818374778">
    <w:abstractNumId w:val="1"/>
  </w:num>
  <w:num w:numId="3" w16cid:durableId="1035155248">
    <w:abstractNumId w:val="7"/>
  </w:num>
  <w:num w:numId="4" w16cid:durableId="289288795">
    <w:abstractNumId w:val="12"/>
  </w:num>
  <w:num w:numId="5" w16cid:durableId="1550653628">
    <w:abstractNumId w:val="3"/>
  </w:num>
  <w:num w:numId="6" w16cid:durableId="329214661">
    <w:abstractNumId w:val="4"/>
  </w:num>
  <w:num w:numId="7" w16cid:durableId="2125341883">
    <w:abstractNumId w:val="11"/>
  </w:num>
  <w:num w:numId="8" w16cid:durableId="720056083">
    <w:abstractNumId w:val="6"/>
  </w:num>
  <w:num w:numId="9" w16cid:durableId="34431429">
    <w:abstractNumId w:val="0"/>
  </w:num>
  <w:num w:numId="10" w16cid:durableId="369574437">
    <w:abstractNumId w:val="8"/>
  </w:num>
  <w:num w:numId="11" w16cid:durableId="12849017">
    <w:abstractNumId w:val="12"/>
  </w:num>
  <w:num w:numId="12" w16cid:durableId="1802917843">
    <w:abstractNumId w:val="6"/>
  </w:num>
  <w:num w:numId="13" w16cid:durableId="1277755459">
    <w:abstractNumId w:val="5"/>
  </w:num>
  <w:num w:numId="14" w16cid:durableId="481119166">
    <w:abstractNumId w:val="9"/>
  </w:num>
  <w:num w:numId="15" w16cid:durableId="271322874">
    <w:abstractNumId w:val="14"/>
  </w:num>
  <w:num w:numId="16" w16cid:durableId="1908683048">
    <w:abstractNumId w:val="13"/>
  </w:num>
  <w:num w:numId="17" w16cid:durableId="110171213">
    <w:abstractNumId w:val="15"/>
  </w:num>
  <w:num w:numId="18" w16cid:durableId="35201123">
    <w:abstractNumId w:val="2"/>
  </w:num>
  <w:num w:numId="19" w16cid:durableId="867914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3C"/>
    <w:rsid w:val="0000043E"/>
    <w:rsid w:val="00000BBB"/>
    <w:rsid w:val="000030A3"/>
    <w:rsid w:val="00005E24"/>
    <w:rsid w:val="00007114"/>
    <w:rsid w:val="00007C1A"/>
    <w:rsid w:val="00010C00"/>
    <w:rsid w:val="00010F95"/>
    <w:rsid w:val="000139F7"/>
    <w:rsid w:val="00021137"/>
    <w:rsid w:val="00022E8A"/>
    <w:rsid w:val="00023A15"/>
    <w:rsid w:val="00023E27"/>
    <w:rsid w:val="00024B96"/>
    <w:rsid w:val="00025781"/>
    <w:rsid w:val="00027820"/>
    <w:rsid w:val="00030B06"/>
    <w:rsid w:val="00031814"/>
    <w:rsid w:val="00032ADB"/>
    <w:rsid w:val="000331CC"/>
    <w:rsid w:val="00034621"/>
    <w:rsid w:val="000359A7"/>
    <w:rsid w:val="0003667A"/>
    <w:rsid w:val="00041A4C"/>
    <w:rsid w:val="00042907"/>
    <w:rsid w:val="000454E6"/>
    <w:rsid w:val="00051C74"/>
    <w:rsid w:val="00054F00"/>
    <w:rsid w:val="00055665"/>
    <w:rsid w:val="00055D24"/>
    <w:rsid w:val="00056AF0"/>
    <w:rsid w:val="00066A6B"/>
    <w:rsid w:val="00071F01"/>
    <w:rsid w:val="0007211E"/>
    <w:rsid w:val="00072D40"/>
    <w:rsid w:val="00073947"/>
    <w:rsid w:val="00076CE8"/>
    <w:rsid w:val="0008090C"/>
    <w:rsid w:val="00080E6B"/>
    <w:rsid w:val="00090F14"/>
    <w:rsid w:val="00091709"/>
    <w:rsid w:val="000936BD"/>
    <w:rsid w:val="00096F5B"/>
    <w:rsid w:val="000A0178"/>
    <w:rsid w:val="000A13DB"/>
    <w:rsid w:val="000A1B7A"/>
    <w:rsid w:val="000A2102"/>
    <w:rsid w:val="000A3157"/>
    <w:rsid w:val="000A4365"/>
    <w:rsid w:val="000A48F5"/>
    <w:rsid w:val="000A6319"/>
    <w:rsid w:val="000B250B"/>
    <w:rsid w:val="000B26E2"/>
    <w:rsid w:val="000B2C60"/>
    <w:rsid w:val="000B6196"/>
    <w:rsid w:val="000B62F4"/>
    <w:rsid w:val="000C1BB9"/>
    <w:rsid w:val="000C4688"/>
    <w:rsid w:val="000C5B0D"/>
    <w:rsid w:val="000C7148"/>
    <w:rsid w:val="000C7E11"/>
    <w:rsid w:val="000C7FDC"/>
    <w:rsid w:val="000D32A6"/>
    <w:rsid w:val="000D37D6"/>
    <w:rsid w:val="000D4459"/>
    <w:rsid w:val="000E3128"/>
    <w:rsid w:val="000E4F88"/>
    <w:rsid w:val="000E4F8F"/>
    <w:rsid w:val="000E53B9"/>
    <w:rsid w:val="000F1E22"/>
    <w:rsid w:val="000F3EB4"/>
    <w:rsid w:val="000F560B"/>
    <w:rsid w:val="000F5DFC"/>
    <w:rsid w:val="000F6A8B"/>
    <w:rsid w:val="001011D8"/>
    <w:rsid w:val="00101E30"/>
    <w:rsid w:val="00102588"/>
    <w:rsid w:val="001030B4"/>
    <w:rsid w:val="00103ACA"/>
    <w:rsid w:val="00106D48"/>
    <w:rsid w:val="00112747"/>
    <w:rsid w:val="00112DBE"/>
    <w:rsid w:val="00116D52"/>
    <w:rsid w:val="0011760A"/>
    <w:rsid w:val="001212E2"/>
    <w:rsid w:val="0012135F"/>
    <w:rsid w:val="00123A53"/>
    <w:rsid w:val="001243B8"/>
    <w:rsid w:val="00126E62"/>
    <w:rsid w:val="00130061"/>
    <w:rsid w:val="001306B7"/>
    <w:rsid w:val="0013225E"/>
    <w:rsid w:val="001345DD"/>
    <w:rsid w:val="00137055"/>
    <w:rsid w:val="00142160"/>
    <w:rsid w:val="00142786"/>
    <w:rsid w:val="00145646"/>
    <w:rsid w:val="00147A8F"/>
    <w:rsid w:val="00147C69"/>
    <w:rsid w:val="00147E7F"/>
    <w:rsid w:val="00150AB5"/>
    <w:rsid w:val="00151F77"/>
    <w:rsid w:val="0015200D"/>
    <w:rsid w:val="00154328"/>
    <w:rsid w:val="00157D48"/>
    <w:rsid w:val="00162897"/>
    <w:rsid w:val="0017689D"/>
    <w:rsid w:val="0017691E"/>
    <w:rsid w:val="0017746C"/>
    <w:rsid w:val="00180908"/>
    <w:rsid w:val="001813E4"/>
    <w:rsid w:val="00181B31"/>
    <w:rsid w:val="001820E6"/>
    <w:rsid w:val="00182F99"/>
    <w:rsid w:val="00183630"/>
    <w:rsid w:val="00184500"/>
    <w:rsid w:val="00186D3B"/>
    <w:rsid w:val="001874A8"/>
    <w:rsid w:val="00191060"/>
    <w:rsid w:val="00192CF6"/>
    <w:rsid w:val="001930BE"/>
    <w:rsid w:val="0019460C"/>
    <w:rsid w:val="00194AFF"/>
    <w:rsid w:val="001960A1"/>
    <w:rsid w:val="00196AFB"/>
    <w:rsid w:val="001A511B"/>
    <w:rsid w:val="001A6E51"/>
    <w:rsid w:val="001B0EAE"/>
    <w:rsid w:val="001B3B44"/>
    <w:rsid w:val="001B4E5B"/>
    <w:rsid w:val="001C0143"/>
    <w:rsid w:val="001C15B2"/>
    <w:rsid w:val="001C3C93"/>
    <w:rsid w:val="001C759D"/>
    <w:rsid w:val="001D36D4"/>
    <w:rsid w:val="001D460E"/>
    <w:rsid w:val="001D51F7"/>
    <w:rsid w:val="001D6768"/>
    <w:rsid w:val="001E15CE"/>
    <w:rsid w:val="001E20B1"/>
    <w:rsid w:val="001E384B"/>
    <w:rsid w:val="001E4FE9"/>
    <w:rsid w:val="001E79C1"/>
    <w:rsid w:val="001F2A7E"/>
    <w:rsid w:val="001F3A1C"/>
    <w:rsid w:val="001F46DE"/>
    <w:rsid w:val="001F5F4B"/>
    <w:rsid w:val="002036F9"/>
    <w:rsid w:val="00206B27"/>
    <w:rsid w:val="00214791"/>
    <w:rsid w:val="00215D5A"/>
    <w:rsid w:val="00220B35"/>
    <w:rsid w:val="00225F1D"/>
    <w:rsid w:val="00226089"/>
    <w:rsid w:val="00231907"/>
    <w:rsid w:val="002323EA"/>
    <w:rsid w:val="00232514"/>
    <w:rsid w:val="00232B51"/>
    <w:rsid w:val="002357D5"/>
    <w:rsid w:val="00236DCB"/>
    <w:rsid w:val="0023733C"/>
    <w:rsid w:val="00240DD3"/>
    <w:rsid w:val="002421EC"/>
    <w:rsid w:val="00242DE4"/>
    <w:rsid w:val="00243755"/>
    <w:rsid w:val="00250FF9"/>
    <w:rsid w:val="00251981"/>
    <w:rsid w:val="00252C12"/>
    <w:rsid w:val="00254BFC"/>
    <w:rsid w:val="00254D35"/>
    <w:rsid w:val="00254E99"/>
    <w:rsid w:val="00255657"/>
    <w:rsid w:val="0025677D"/>
    <w:rsid w:val="00261E19"/>
    <w:rsid w:val="002656F1"/>
    <w:rsid w:val="002656FC"/>
    <w:rsid w:val="0027188B"/>
    <w:rsid w:val="00273585"/>
    <w:rsid w:val="00275271"/>
    <w:rsid w:val="00276B18"/>
    <w:rsid w:val="00277C73"/>
    <w:rsid w:val="00277F14"/>
    <w:rsid w:val="0028099D"/>
    <w:rsid w:val="00281B5F"/>
    <w:rsid w:val="00281F08"/>
    <w:rsid w:val="00282AAC"/>
    <w:rsid w:val="00282E74"/>
    <w:rsid w:val="0028329E"/>
    <w:rsid w:val="00285A10"/>
    <w:rsid w:val="002878AC"/>
    <w:rsid w:val="002901CF"/>
    <w:rsid w:val="002905BA"/>
    <w:rsid w:val="00290B23"/>
    <w:rsid w:val="00291FCE"/>
    <w:rsid w:val="00292D29"/>
    <w:rsid w:val="002945AF"/>
    <w:rsid w:val="002A104F"/>
    <w:rsid w:val="002A1B59"/>
    <w:rsid w:val="002A3392"/>
    <w:rsid w:val="002A69CD"/>
    <w:rsid w:val="002B224E"/>
    <w:rsid w:val="002B2D35"/>
    <w:rsid w:val="002B3E67"/>
    <w:rsid w:val="002B50CE"/>
    <w:rsid w:val="002B61DA"/>
    <w:rsid w:val="002C5296"/>
    <w:rsid w:val="002D0898"/>
    <w:rsid w:val="002D212F"/>
    <w:rsid w:val="002D4259"/>
    <w:rsid w:val="002D4C89"/>
    <w:rsid w:val="002D4D05"/>
    <w:rsid w:val="002E0F20"/>
    <w:rsid w:val="002E302C"/>
    <w:rsid w:val="002E46F8"/>
    <w:rsid w:val="002E55AE"/>
    <w:rsid w:val="002E5913"/>
    <w:rsid w:val="002F01AA"/>
    <w:rsid w:val="002F113D"/>
    <w:rsid w:val="002F34BF"/>
    <w:rsid w:val="002F4BC4"/>
    <w:rsid w:val="002F4D1E"/>
    <w:rsid w:val="002F6563"/>
    <w:rsid w:val="002F6749"/>
    <w:rsid w:val="002F686B"/>
    <w:rsid w:val="002F6A65"/>
    <w:rsid w:val="002F6AD6"/>
    <w:rsid w:val="002F6E48"/>
    <w:rsid w:val="002F7830"/>
    <w:rsid w:val="003034D9"/>
    <w:rsid w:val="0030485D"/>
    <w:rsid w:val="00305B30"/>
    <w:rsid w:val="0031021A"/>
    <w:rsid w:val="00312DE3"/>
    <w:rsid w:val="003167C2"/>
    <w:rsid w:val="003176C0"/>
    <w:rsid w:val="00320732"/>
    <w:rsid w:val="00320851"/>
    <w:rsid w:val="00322279"/>
    <w:rsid w:val="00323B85"/>
    <w:rsid w:val="003257F3"/>
    <w:rsid w:val="003306C5"/>
    <w:rsid w:val="003316BC"/>
    <w:rsid w:val="00332F66"/>
    <w:rsid w:val="00333293"/>
    <w:rsid w:val="003353AB"/>
    <w:rsid w:val="003363E7"/>
    <w:rsid w:val="00336EC5"/>
    <w:rsid w:val="00343BC9"/>
    <w:rsid w:val="00343EAF"/>
    <w:rsid w:val="003455F9"/>
    <w:rsid w:val="00345DB7"/>
    <w:rsid w:val="0034699A"/>
    <w:rsid w:val="00350D41"/>
    <w:rsid w:val="003636DA"/>
    <w:rsid w:val="0036423D"/>
    <w:rsid w:val="00365E99"/>
    <w:rsid w:val="00366221"/>
    <w:rsid w:val="003669F2"/>
    <w:rsid w:val="00371819"/>
    <w:rsid w:val="003737FE"/>
    <w:rsid w:val="00374B7D"/>
    <w:rsid w:val="00375B09"/>
    <w:rsid w:val="00380FE0"/>
    <w:rsid w:val="003810CC"/>
    <w:rsid w:val="00381911"/>
    <w:rsid w:val="00384807"/>
    <w:rsid w:val="00385194"/>
    <w:rsid w:val="00385253"/>
    <w:rsid w:val="00395F5C"/>
    <w:rsid w:val="003966BE"/>
    <w:rsid w:val="003A0EA6"/>
    <w:rsid w:val="003A50A6"/>
    <w:rsid w:val="003A6985"/>
    <w:rsid w:val="003A7BE1"/>
    <w:rsid w:val="003B104C"/>
    <w:rsid w:val="003B1560"/>
    <w:rsid w:val="003B2435"/>
    <w:rsid w:val="003B59D3"/>
    <w:rsid w:val="003C0100"/>
    <w:rsid w:val="003C0FE0"/>
    <w:rsid w:val="003C167B"/>
    <w:rsid w:val="003C17AA"/>
    <w:rsid w:val="003C1E85"/>
    <w:rsid w:val="003C5FD1"/>
    <w:rsid w:val="003C6AFB"/>
    <w:rsid w:val="003C7163"/>
    <w:rsid w:val="003C7314"/>
    <w:rsid w:val="003C77D9"/>
    <w:rsid w:val="003C7EEC"/>
    <w:rsid w:val="003D40CC"/>
    <w:rsid w:val="003D4182"/>
    <w:rsid w:val="003D4338"/>
    <w:rsid w:val="003D43AF"/>
    <w:rsid w:val="003D4AAD"/>
    <w:rsid w:val="003D4C75"/>
    <w:rsid w:val="003D55C1"/>
    <w:rsid w:val="003D5FC8"/>
    <w:rsid w:val="003E1F44"/>
    <w:rsid w:val="003F0457"/>
    <w:rsid w:val="003F3678"/>
    <w:rsid w:val="003F6EEA"/>
    <w:rsid w:val="003F778E"/>
    <w:rsid w:val="00400B37"/>
    <w:rsid w:val="00402007"/>
    <w:rsid w:val="004035C5"/>
    <w:rsid w:val="00407CA8"/>
    <w:rsid w:val="00407FA3"/>
    <w:rsid w:val="00410314"/>
    <w:rsid w:val="004144E8"/>
    <w:rsid w:val="00415D40"/>
    <w:rsid w:val="00417E5C"/>
    <w:rsid w:val="00420E0E"/>
    <w:rsid w:val="00421DE0"/>
    <w:rsid w:val="00426393"/>
    <w:rsid w:val="00433429"/>
    <w:rsid w:val="00435A7E"/>
    <w:rsid w:val="00446645"/>
    <w:rsid w:val="004475C8"/>
    <w:rsid w:val="004509F6"/>
    <w:rsid w:val="0045181E"/>
    <w:rsid w:val="00456431"/>
    <w:rsid w:val="004601CA"/>
    <w:rsid w:val="00461A21"/>
    <w:rsid w:val="00463081"/>
    <w:rsid w:val="00464578"/>
    <w:rsid w:val="004653A4"/>
    <w:rsid w:val="00465F90"/>
    <w:rsid w:val="004661D9"/>
    <w:rsid w:val="004673E8"/>
    <w:rsid w:val="0047179D"/>
    <w:rsid w:val="004728FA"/>
    <w:rsid w:val="0047364D"/>
    <w:rsid w:val="0047370B"/>
    <w:rsid w:val="004742C0"/>
    <w:rsid w:val="004767ED"/>
    <w:rsid w:val="00476DC7"/>
    <w:rsid w:val="00481CEB"/>
    <w:rsid w:val="0048270F"/>
    <w:rsid w:val="00482A48"/>
    <w:rsid w:val="00482C43"/>
    <w:rsid w:val="0048424A"/>
    <w:rsid w:val="00485338"/>
    <w:rsid w:val="004856A1"/>
    <w:rsid w:val="004925AF"/>
    <w:rsid w:val="00496040"/>
    <w:rsid w:val="00497570"/>
    <w:rsid w:val="004A07A9"/>
    <w:rsid w:val="004A6921"/>
    <w:rsid w:val="004A77ED"/>
    <w:rsid w:val="004B0FBD"/>
    <w:rsid w:val="004B19C8"/>
    <w:rsid w:val="004B1A38"/>
    <w:rsid w:val="004B2D91"/>
    <w:rsid w:val="004B2DFD"/>
    <w:rsid w:val="004B448C"/>
    <w:rsid w:val="004B523C"/>
    <w:rsid w:val="004B5287"/>
    <w:rsid w:val="004B7C60"/>
    <w:rsid w:val="004C02E1"/>
    <w:rsid w:val="004C29A1"/>
    <w:rsid w:val="004C54CD"/>
    <w:rsid w:val="004C5A20"/>
    <w:rsid w:val="004C7B76"/>
    <w:rsid w:val="004D2C32"/>
    <w:rsid w:val="004D35DC"/>
    <w:rsid w:val="004D5013"/>
    <w:rsid w:val="004D7866"/>
    <w:rsid w:val="004E1A2E"/>
    <w:rsid w:val="004E4B38"/>
    <w:rsid w:val="004F1D8D"/>
    <w:rsid w:val="004F45E0"/>
    <w:rsid w:val="004F4E55"/>
    <w:rsid w:val="004F6D58"/>
    <w:rsid w:val="004F6FF8"/>
    <w:rsid w:val="004F7875"/>
    <w:rsid w:val="004F7876"/>
    <w:rsid w:val="00500F31"/>
    <w:rsid w:val="00502C70"/>
    <w:rsid w:val="00503FE7"/>
    <w:rsid w:val="0050458A"/>
    <w:rsid w:val="005063AE"/>
    <w:rsid w:val="005108F0"/>
    <w:rsid w:val="00511A6D"/>
    <w:rsid w:val="0051324A"/>
    <w:rsid w:val="00513B22"/>
    <w:rsid w:val="005156C6"/>
    <w:rsid w:val="0051751E"/>
    <w:rsid w:val="00517DE5"/>
    <w:rsid w:val="005204EE"/>
    <w:rsid w:val="00520FEB"/>
    <w:rsid w:val="00521C3C"/>
    <w:rsid w:val="00524967"/>
    <w:rsid w:val="0052711E"/>
    <w:rsid w:val="005325DE"/>
    <w:rsid w:val="0053320A"/>
    <w:rsid w:val="00534AA0"/>
    <w:rsid w:val="00535380"/>
    <w:rsid w:val="005355A2"/>
    <w:rsid w:val="00537813"/>
    <w:rsid w:val="00540C51"/>
    <w:rsid w:val="005413F4"/>
    <w:rsid w:val="00543663"/>
    <w:rsid w:val="00544204"/>
    <w:rsid w:val="005453C7"/>
    <w:rsid w:val="0054547F"/>
    <w:rsid w:val="00546C24"/>
    <w:rsid w:val="00551561"/>
    <w:rsid w:val="00551704"/>
    <w:rsid w:val="00551DF1"/>
    <w:rsid w:val="00553453"/>
    <w:rsid w:val="005551BC"/>
    <w:rsid w:val="00561B8E"/>
    <w:rsid w:val="005622B8"/>
    <w:rsid w:val="00565412"/>
    <w:rsid w:val="00565933"/>
    <w:rsid w:val="0057427A"/>
    <w:rsid w:val="005744EF"/>
    <w:rsid w:val="00576308"/>
    <w:rsid w:val="00576675"/>
    <w:rsid w:val="00594919"/>
    <w:rsid w:val="00595486"/>
    <w:rsid w:val="0059618E"/>
    <w:rsid w:val="00596B26"/>
    <w:rsid w:val="00597DB3"/>
    <w:rsid w:val="005A0AC9"/>
    <w:rsid w:val="005A25A2"/>
    <w:rsid w:val="005A32E2"/>
    <w:rsid w:val="005A4C43"/>
    <w:rsid w:val="005B044C"/>
    <w:rsid w:val="005B0654"/>
    <w:rsid w:val="005B0A01"/>
    <w:rsid w:val="005B3096"/>
    <w:rsid w:val="005B5FD1"/>
    <w:rsid w:val="005B770D"/>
    <w:rsid w:val="005C0E32"/>
    <w:rsid w:val="005C1AC3"/>
    <w:rsid w:val="005C3102"/>
    <w:rsid w:val="005C3EC5"/>
    <w:rsid w:val="005C4B53"/>
    <w:rsid w:val="005C7692"/>
    <w:rsid w:val="005D10EF"/>
    <w:rsid w:val="005D2AE0"/>
    <w:rsid w:val="005D617B"/>
    <w:rsid w:val="005D6B66"/>
    <w:rsid w:val="005D6EBD"/>
    <w:rsid w:val="005D7809"/>
    <w:rsid w:val="005D7A43"/>
    <w:rsid w:val="005E088A"/>
    <w:rsid w:val="005E2485"/>
    <w:rsid w:val="005E4ACB"/>
    <w:rsid w:val="005E5DC3"/>
    <w:rsid w:val="005F1E1C"/>
    <w:rsid w:val="005F4844"/>
    <w:rsid w:val="006003C0"/>
    <w:rsid w:val="00605A85"/>
    <w:rsid w:val="0060765B"/>
    <w:rsid w:val="00610D78"/>
    <w:rsid w:val="00613704"/>
    <w:rsid w:val="0061744B"/>
    <w:rsid w:val="00623B1C"/>
    <w:rsid w:val="00624BD2"/>
    <w:rsid w:val="00624E5D"/>
    <w:rsid w:val="0063226B"/>
    <w:rsid w:val="00642E5A"/>
    <w:rsid w:val="006442EF"/>
    <w:rsid w:val="00645F6E"/>
    <w:rsid w:val="00646B73"/>
    <w:rsid w:val="00647784"/>
    <w:rsid w:val="00650A25"/>
    <w:rsid w:val="006511D3"/>
    <w:rsid w:val="0065370B"/>
    <w:rsid w:val="00656EE0"/>
    <w:rsid w:val="006613E5"/>
    <w:rsid w:val="00661EA1"/>
    <w:rsid w:val="00665125"/>
    <w:rsid w:val="00665D05"/>
    <w:rsid w:val="006664BA"/>
    <w:rsid w:val="00671A3F"/>
    <w:rsid w:val="006751A1"/>
    <w:rsid w:val="00677F61"/>
    <w:rsid w:val="006801CC"/>
    <w:rsid w:val="00680EA4"/>
    <w:rsid w:val="006821D1"/>
    <w:rsid w:val="0068476E"/>
    <w:rsid w:val="006866EA"/>
    <w:rsid w:val="0068761A"/>
    <w:rsid w:val="00687766"/>
    <w:rsid w:val="0069004B"/>
    <w:rsid w:val="006923AD"/>
    <w:rsid w:val="00695EE7"/>
    <w:rsid w:val="00696F4B"/>
    <w:rsid w:val="00697C43"/>
    <w:rsid w:val="006A2B1B"/>
    <w:rsid w:val="006A50E3"/>
    <w:rsid w:val="006A57DB"/>
    <w:rsid w:val="006A5DB9"/>
    <w:rsid w:val="006A682F"/>
    <w:rsid w:val="006A7A9C"/>
    <w:rsid w:val="006B231B"/>
    <w:rsid w:val="006B28D0"/>
    <w:rsid w:val="006B2B51"/>
    <w:rsid w:val="006B3141"/>
    <w:rsid w:val="006B3285"/>
    <w:rsid w:val="006B67C7"/>
    <w:rsid w:val="006B7EEA"/>
    <w:rsid w:val="006C1344"/>
    <w:rsid w:val="006C1446"/>
    <w:rsid w:val="006C21A1"/>
    <w:rsid w:val="006C53B3"/>
    <w:rsid w:val="006C62E2"/>
    <w:rsid w:val="006C6471"/>
    <w:rsid w:val="006D11F1"/>
    <w:rsid w:val="006D13F7"/>
    <w:rsid w:val="006D1C7F"/>
    <w:rsid w:val="006D5B64"/>
    <w:rsid w:val="006D5FB2"/>
    <w:rsid w:val="006D7009"/>
    <w:rsid w:val="006D7CE0"/>
    <w:rsid w:val="006E3958"/>
    <w:rsid w:val="006E4F58"/>
    <w:rsid w:val="006F1677"/>
    <w:rsid w:val="006F18E3"/>
    <w:rsid w:val="006F1AD0"/>
    <w:rsid w:val="006F21F8"/>
    <w:rsid w:val="006F40B9"/>
    <w:rsid w:val="006F4245"/>
    <w:rsid w:val="0070396B"/>
    <w:rsid w:val="007042EF"/>
    <w:rsid w:val="00710BD9"/>
    <w:rsid w:val="00713DA0"/>
    <w:rsid w:val="007143F9"/>
    <w:rsid w:val="00716C42"/>
    <w:rsid w:val="00720DE3"/>
    <w:rsid w:val="007231F7"/>
    <w:rsid w:val="0072360E"/>
    <w:rsid w:val="007254EE"/>
    <w:rsid w:val="0072679A"/>
    <w:rsid w:val="00732718"/>
    <w:rsid w:val="0073506E"/>
    <w:rsid w:val="00746596"/>
    <w:rsid w:val="00747EAA"/>
    <w:rsid w:val="007503C0"/>
    <w:rsid w:val="007507A1"/>
    <w:rsid w:val="00751471"/>
    <w:rsid w:val="00753D62"/>
    <w:rsid w:val="00754074"/>
    <w:rsid w:val="00761933"/>
    <w:rsid w:val="00762EBE"/>
    <w:rsid w:val="00763079"/>
    <w:rsid w:val="00763FDD"/>
    <w:rsid w:val="00766029"/>
    <w:rsid w:val="0076678A"/>
    <w:rsid w:val="007677EC"/>
    <w:rsid w:val="007714EA"/>
    <w:rsid w:val="00775FA7"/>
    <w:rsid w:val="00776256"/>
    <w:rsid w:val="007769F1"/>
    <w:rsid w:val="00776D29"/>
    <w:rsid w:val="00782495"/>
    <w:rsid w:val="00785F85"/>
    <w:rsid w:val="00786896"/>
    <w:rsid w:val="00794E11"/>
    <w:rsid w:val="00795E1E"/>
    <w:rsid w:val="00796146"/>
    <w:rsid w:val="00796449"/>
    <w:rsid w:val="00796E6C"/>
    <w:rsid w:val="007A19C3"/>
    <w:rsid w:val="007A3D2C"/>
    <w:rsid w:val="007A46B2"/>
    <w:rsid w:val="007A540C"/>
    <w:rsid w:val="007A6F7D"/>
    <w:rsid w:val="007B0C83"/>
    <w:rsid w:val="007B0E51"/>
    <w:rsid w:val="007B1142"/>
    <w:rsid w:val="007B1901"/>
    <w:rsid w:val="007B3001"/>
    <w:rsid w:val="007C1A51"/>
    <w:rsid w:val="007C29A0"/>
    <w:rsid w:val="007D1BD6"/>
    <w:rsid w:val="007D1F22"/>
    <w:rsid w:val="007D4914"/>
    <w:rsid w:val="007D764E"/>
    <w:rsid w:val="007D7A39"/>
    <w:rsid w:val="007E0411"/>
    <w:rsid w:val="007E32F3"/>
    <w:rsid w:val="007E5047"/>
    <w:rsid w:val="007F13CD"/>
    <w:rsid w:val="007F5A13"/>
    <w:rsid w:val="007F70E8"/>
    <w:rsid w:val="007F714F"/>
    <w:rsid w:val="007F7FB1"/>
    <w:rsid w:val="008008C5"/>
    <w:rsid w:val="00800A91"/>
    <w:rsid w:val="008032A2"/>
    <w:rsid w:val="008063E3"/>
    <w:rsid w:val="0081054A"/>
    <w:rsid w:val="0081204E"/>
    <w:rsid w:val="008126F0"/>
    <w:rsid w:val="00814827"/>
    <w:rsid w:val="008149F1"/>
    <w:rsid w:val="0081761E"/>
    <w:rsid w:val="0082165B"/>
    <w:rsid w:val="008218C4"/>
    <w:rsid w:val="0082222E"/>
    <w:rsid w:val="00822410"/>
    <w:rsid w:val="00822A0D"/>
    <w:rsid w:val="008239F6"/>
    <w:rsid w:val="008258FC"/>
    <w:rsid w:val="00825DAD"/>
    <w:rsid w:val="00826055"/>
    <w:rsid w:val="008276CE"/>
    <w:rsid w:val="008320D9"/>
    <w:rsid w:val="00833596"/>
    <w:rsid w:val="00833A7D"/>
    <w:rsid w:val="0083405B"/>
    <w:rsid w:val="00834BED"/>
    <w:rsid w:val="008356F3"/>
    <w:rsid w:val="0083605B"/>
    <w:rsid w:val="00836128"/>
    <w:rsid w:val="008414B9"/>
    <w:rsid w:val="008448BD"/>
    <w:rsid w:val="00844A22"/>
    <w:rsid w:val="0084535E"/>
    <w:rsid w:val="00845700"/>
    <w:rsid w:val="00846A91"/>
    <w:rsid w:val="0085173E"/>
    <w:rsid w:val="008519D6"/>
    <w:rsid w:val="00853465"/>
    <w:rsid w:val="008602CB"/>
    <w:rsid w:val="00864690"/>
    <w:rsid w:val="00864FC9"/>
    <w:rsid w:val="008665AA"/>
    <w:rsid w:val="008679B4"/>
    <w:rsid w:val="00872383"/>
    <w:rsid w:val="00875300"/>
    <w:rsid w:val="008773CB"/>
    <w:rsid w:val="00881274"/>
    <w:rsid w:val="008824DC"/>
    <w:rsid w:val="00884F89"/>
    <w:rsid w:val="0089178D"/>
    <w:rsid w:val="008A136B"/>
    <w:rsid w:val="008A2943"/>
    <w:rsid w:val="008A3BFE"/>
    <w:rsid w:val="008A41BA"/>
    <w:rsid w:val="008B1180"/>
    <w:rsid w:val="008B27D7"/>
    <w:rsid w:val="008C2170"/>
    <w:rsid w:val="008C2257"/>
    <w:rsid w:val="008C375D"/>
    <w:rsid w:val="008C48D6"/>
    <w:rsid w:val="008C5868"/>
    <w:rsid w:val="008D0C51"/>
    <w:rsid w:val="008D0DFB"/>
    <w:rsid w:val="008D4C74"/>
    <w:rsid w:val="008D7E9D"/>
    <w:rsid w:val="008E043B"/>
    <w:rsid w:val="008E1EC7"/>
    <w:rsid w:val="008E3EB0"/>
    <w:rsid w:val="008F0A8D"/>
    <w:rsid w:val="008F0C94"/>
    <w:rsid w:val="008F128C"/>
    <w:rsid w:val="008F3928"/>
    <w:rsid w:val="008F798D"/>
    <w:rsid w:val="008F7F66"/>
    <w:rsid w:val="00902E85"/>
    <w:rsid w:val="009032DC"/>
    <w:rsid w:val="00904CEC"/>
    <w:rsid w:val="00913561"/>
    <w:rsid w:val="009142F7"/>
    <w:rsid w:val="00916557"/>
    <w:rsid w:val="0091668F"/>
    <w:rsid w:val="00917B9B"/>
    <w:rsid w:val="00923DC2"/>
    <w:rsid w:val="00926043"/>
    <w:rsid w:val="0092666E"/>
    <w:rsid w:val="00934674"/>
    <w:rsid w:val="00934AA9"/>
    <w:rsid w:val="0093663E"/>
    <w:rsid w:val="00936FE0"/>
    <w:rsid w:val="00937ACC"/>
    <w:rsid w:val="00940F69"/>
    <w:rsid w:val="00944689"/>
    <w:rsid w:val="00944A8F"/>
    <w:rsid w:val="0094786F"/>
    <w:rsid w:val="009507DA"/>
    <w:rsid w:val="0095135E"/>
    <w:rsid w:val="0095520A"/>
    <w:rsid w:val="00957093"/>
    <w:rsid w:val="00960517"/>
    <w:rsid w:val="00960F32"/>
    <w:rsid w:val="009639A9"/>
    <w:rsid w:val="009679FF"/>
    <w:rsid w:val="00971D18"/>
    <w:rsid w:val="00972EFA"/>
    <w:rsid w:val="00975C54"/>
    <w:rsid w:val="009839EE"/>
    <w:rsid w:val="00987F87"/>
    <w:rsid w:val="00990995"/>
    <w:rsid w:val="009919D3"/>
    <w:rsid w:val="00994920"/>
    <w:rsid w:val="00994E2E"/>
    <w:rsid w:val="00997A3B"/>
    <w:rsid w:val="00997FA6"/>
    <w:rsid w:val="009A0936"/>
    <w:rsid w:val="009A163D"/>
    <w:rsid w:val="009A2E9A"/>
    <w:rsid w:val="009A2F31"/>
    <w:rsid w:val="009A3478"/>
    <w:rsid w:val="009A5109"/>
    <w:rsid w:val="009A556D"/>
    <w:rsid w:val="009A569B"/>
    <w:rsid w:val="009A581C"/>
    <w:rsid w:val="009A6368"/>
    <w:rsid w:val="009B6A35"/>
    <w:rsid w:val="009C03F4"/>
    <w:rsid w:val="009C04D4"/>
    <w:rsid w:val="009C3F52"/>
    <w:rsid w:val="009C6F5C"/>
    <w:rsid w:val="009D045B"/>
    <w:rsid w:val="009D1B4E"/>
    <w:rsid w:val="009D3055"/>
    <w:rsid w:val="009E0113"/>
    <w:rsid w:val="009E267B"/>
    <w:rsid w:val="009E2A4C"/>
    <w:rsid w:val="009E2B57"/>
    <w:rsid w:val="009E38E0"/>
    <w:rsid w:val="009E4902"/>
    <w:rsid w:val="009E6476"/>
    <w:rsid w:val="009E7AD8"/>
    <w:rsid w:val="009F0715"/>
    <w:rsid w:val="009F1C9A"/>
    <w:rsid w:val="009F5C71"/>
    <w:rsid w:val="009F7ABE"/>
    <w:rsid w:val="00A030A1"/>
    <w:rsid w:val="00A03A41"/>
    <w:rsid w:val="00A06224"/>
    <w:rsid w:val="00A075F2"/>
    <w:rsid w:val="00A07AD9"/>
    <w:rsid w:val="00A07B1B"/>
    <w:rsid w:val="00A10AFA"/>
    <w:rsid w:val="00A11F6B"/>
    <w:rsid w:val="00A164FE"/>
    <w:rsid w:val="00A16634"/>
    <w:rsid w:val="00A17B0B"/>
    <w:rsid w:val="00A21B56"/>
    <w:rsid w:val="00A22E59"/>
    <w:rsid w:val="00A245CE"/>
    <w:rsid w:val="00A3062F"/>
    <w:rsid w:val="00A331FD"/>
    <w:rsid w:val="00A352CD"/>
    <w:rsid w:val="00A35659"/>
    <w:rsid w:val="00A3687E"/>
    <w:rsid w:val="00A377D1"/>
    <w:rsid w:val="00A422A4"/>
    <w:rsid w:val="00A4505A"/>
    <w:rsid w:val="00A45724"/>
    <w:rsid w:val="00A45C76"/>
    <w:rsid w:val="00A47D40"/>
    <w:rsid w:val="00A50A85"/>
    <w:rsid w:val="00A54358"/>
    <w:rsid w:val="00A57E31"/>
    <w:rsid w:val="00A57E4F"/>
    <w:rsid w:val="00A60A7E"/>
    <w:rsid w:val="00A62BD6"/>
    <w:rsid w:val="00A6542C"/>
    <w:rsid w:val="00A65EFF"/>
    <w:rsid w:val="00A77598"/>
    <w:rsid w:val="00A839BB"/>
    <w:rsid w:val="00A87C1A"/>
    <w:rsid w:val="00A90A80"/>
    <w:rsid w:val="00A91DB4"/>
    <w:rsid w:val="00A924BE"/>
    <w:rsid w:val="00A96B22"/>
    <w:rsid w:val="00AA1A39"/>
    <w:rsid w:val="00AA2A27"/>
    <w:rsid w:val="00AA2F3B"/>
    <w:rsid w:val="00AA3708"/>
    <w:rsid w:val="00AA3D40"/>
    <w:rsid w:val="00AA4679"/>
    <w:rsid w:val="00AA67B7"/>
    <w:rsid w:val="00AB060F"/>
    <w:rsid w:val="00AB09C8"/>
    <w:rsid w:val="00AB2708"/>
    <w:rsid w:val="00AB2CFE"/>
    <w:rsid w:val="00AB4502"/>
    <w:rsid w:val="00AB5001"/>
    <w:rsid w:val="00AB6DCA"/>
    <w:rsid w:val="00AC05B8"/>
    <w:rsid w:val="00AC1C23"/>
    <w:rsid w:val="00AC378F"/>
    <w:rsid w:val="00AC4E8D"/>
    <w:rsid w:val="00AD6078"/>
    <w:rsid w:val="00AD69B9"/>
    <w:rsid w:val="00AD7172"/>
    <w:rsid w:val="00AE004E"/>
    <w:rsid w:val="00AE5CB5"/>
    <w:rsid w:val="00AF72EF"/>
    <w:rsid w:val="00AF72FA"/>
    <w:rsid w:val="00AF752D"/>
    <w:rsid w:val="00B00433"/>
    <w:rsid w:val="00B02333"/>
    <w:rsid w:val="00B06867"/>
    <w:rsid w:val="00B07121"/>
    <w:rsid w:val="00B07F94"/>
    <w:rsid w:val="00B169D5"/>
    <w:rsid w:val="00B17D2E"/>
    <w:rsid w:val="00B232DF"/>
    <w:rsid w:val="00B23378"/>
    <w:rsid w:val="00B24978"/>
    <w:rsid w:val="00B27122"/>
    <w:rsid w:val="00B30252"/>
    <w:rsid w:val="00B3046E"/>
    <w:rsid w:val="00B330EE"/>
    <w:rsid w:val="00B36085"/>
    <w:rsid w:val="00B37CB0"/>
    <w:rsid w:val="00B41A55"/>
    <w:rsid w:val="00B436CE"/>
    <w:rsid w:val="00B43A44"/>
    <w:rsid w:val="00B44E2D"/>
    <w:rsid w:val="00B5188C"/>
    <w:rsid w:val="00B51F6E"/>
    <w:rsid w:val="00B5369D"/>
    <w:rsid w:val="00B53878"/>
    <w:rsid w:val="00B542AB"/>
    <w:rsid w:val="00B576B3"/>
    <w:rsid w:val="00B57BEC"/>
    <w:rsid w:val="00B60D63"/>
    <w:rsid w:val="00B628A0"/>
    <w:rsid w:val="00B638AE"/>
    <w:rsid w:val="00B65588"/>
    <w:rsid w:val="00B6611A"/>
    <w:rsid w:val="00B67A32"/>
    <w:rsid w:val="00B7070C"/>
    <w:rsid w:val="00B7111E"/>
    <w:rsid w:val="00B7729F"/>
    <w:rsid w:val="00B77C1A"/>
    <w:rsid w:val="00B77CE4"/>
    <w:rsid w:val="00B81EAA"/>
    <w:rsid w:val="00B8264A"/>
    <w:rsid w:val="00B85B60"/>
    <w:rsid w:val="00B9039A"/>
    <w:rsid w:val="00B92E68"/>
    <w:rsid w:val="00B949C3"/>
    <w:rsid w:val="00B960F7"/>
    <w:rsid w:val="00BA4404"/>
    <w:rsid w:val="00BA4ECB"/>
    <w:rsid w:val="00BA598B"/>
    <w:rsid w:val="00BA638D"/>
    <w:rsid w:val="00BA70A6"/>
    <w:rsid w:val="00BA71A5"/>
    <w:rsid w:val="00BB4E05"/>
    <w:rsid w:val="00BB5675"/>
    <w:rsid w:val="00BB5757"/>
    <w:rsid w:val="00BC08B1"/>
    <w:rsid w:val="00BC4B9E"/>
    <w:rsid w:val="00BC4D47"/>
    <w:rsid w:val="00BC5886"/>
    <w:rsid w:val="00BC5899"/>
    <w:rsid w:val="00BC5A31"/>
    <w:rsid w:val="00BC796D"/>
    <w:rsid w:val="00BD1599"/>
    <w:rsid w:val="00BD38E5"/>
    <w:rsid w:val="00BD51B1"/>
    <w:rsid w:val="00BE56EE"/>
    <w:rsid w:val="00BE5E27"/>
    <w:rsid w:val="00BE6184"/>
    <w:rsid w:val="00BE67FF"/>
    <w:rsid w:val="00BE68BF"/>
    <w:rsid w:val="00BF4A7A"/>
    <w:rsid w:val="00BF5025"/>
    <w:rsid w:val="00BF6305"/>
    <w:rsid w:val="00C01334"/>
    <w:rsid w:val="00C05A3F"/>
    <w:rsid w:val="00C1006D"/>
    <w:rsid w:val="00C10219"/>
    <w:rsid w:val="00C12293"/>
    <w:rsid w:val="00C1294B"/>
    <w:rsid w:val="00C13FDF"/>
    <w:rsid w:val="00C144A3"/>
    <w:rsid w:val="00C1552E"/>
    <w:rsid w:val="00C15EAC"/>
    <w:rsid w:val="00C171AE"/>
    <w:rsid w:val="00C2037E"/>
    <w:rsid w:val="00C22F79"/>
    <w:rsid w:val="00C25C27"/>
    <w:rsid w:val="00C30211"/>
    <w:rsid w:val="00C32758"/>
    <w:rsid w:val="00C361C8"/>
    <w:rsid w:val="00C36F55"/>
    <w:rsid w:val="00C4010C"/>
    <w:rsid w:val="00C41C3E"/>
    <w:rsid w:val="00C5073A"/>
    <w:rsid w:val="00C53BFA"/>
    <w:rsid w:val="00C549F4"/>
    <w:rsid w:val="00C55FB0"/>
    <w:rsid w:val="00C56103"/>
    <w:rsid w:val="00C61333"/>
    <w:rsid w:val="00C63259"/>
    <w:rsid w:val="00C63EC0"/>
    <w:rsid w:val="00C70642"/>
    <w:rsid w:val="00C71493"/>
    <w:rsid w:val="00C72728"/>
    <w:rsid w:val="00C76304"/>
    <w:rsid w:val="00C765E3"/>
    <w:rsid w:val="00C814F0"/>
    <w:rsid w:val="00C82272"/>
    <w:rsid w:val="00C83167"/>
    <w:rsid w:val="00C840D0"/>
    <w:rsid w:val="00C8765F"/>
    <w:rsid w:val="00C87B69"/>
    <w:rsid w:val="00C92135"/>
    <w:rsid w:val="00C952AF"/>
    <w:rsid w:val="00CA09CE"/>
    <w:rsid w:val="00CA312C"/>
    <w:rsid w:val="00CA4AAD"/>
    <w:rsid w:val="00CA60CC"/>
    <w:rsid w:val="00CA7653"/>
    <w:rsid w:val="00CB2DF0"/>
    <w:rsid w:val="00CB3663"/>
    <w:rsid w:val="00CB41D3"/>
    <w:rsid w:val="00CB4528"/>
    <w:rsid w:val="00CB762D"/>
    <w:rsid w:val="00CC0D14"/>
    <w:rsid w:val="00CC2DC6"/>
    <w:rsid w:val="00CD05B9"/>
    <w:rsid w:val="00CD0ED1"/>
    <w:rsid w:val="00CD1171"/>
    <w:rsid w:val="00CD305E"/>
    <w:rsid w:val="00CD7FD2"/>
    <w:rsid w:val="00CE148B"/>
    <w:rsid w:val="00CE29AD"/>
    <w:rsid w:val="00CE7B4F"/>
    <w:rsid w:val="00CF0364"/>
    <w:rsid w:val="00CF41B7"/>
    <w:rsid w:val="00D00B99"/>
    <w:rsid w:val="00D02191"/>
    <w:rsid w:val="00D02957"/>
    <w:rsid w:val="00D034B6"/>
    <w:rsid w:val="00D04F9C"/>
    <w:rsid w:val="00D05CC4"/>
    <w:rsid w:val="00D07FC6"/>
    <w:rsid w:val="00D113C6"/>
    <w:rsid w:val="00D1372B"/>
    <w:rsid w:val="00D173B8"/>
    <w:rsid w:val="00D17607"/>
    <w:rsid w:val="00D200A3"/>
    <w:rsid w:val="00D20555"/>
    <w:rsid w:val="00D20B62"/>
    <w:rsid w:val="00D21B60"/>
    <w:rsid w:val="00D23302"/>
    <w:rsid w:val="00D253A0"/>
    <w:rsid w:val="00D308C6"/>
    <w:rsid w:val="00D33383"/>
    <w:rsid w:val="00D33C6D"/>
    <w:rsid w:val="00D34268"/>
    <w:rsid w:val="00D40C8E"/>
    <w:rsid w:val="00D42820"/>
    <w:rsid w:val="00D4356C"/>
    <w:rsid w:val="00D43599"/>
    <w:rsid w:val="00D43BE7"/>
    <w:rsid w:val="00D44051"/>
    <w:rsid w:val="00D45D38"/>
    <w:rsid w:val="00D46F8B"/>
    <w:rsid w:val="00D51208"/>
    <w:rsid w:val="00D52832"/>
    <w:rsid w:val="00D5358B"/>
    <w:rsid w:val="00D53FC3"/>
    <w:rsid w:val="00D543E2"/>
    <w:rsid w:val="00D55FAE"/>
    <w:rsid w:val="00D60EF7"/>
    <w:rsid w:val="00D62915"/>
    <w:rsid w:val="00D62A88"/>
    <w:rsid w:val="00D63ACE"/>
    <w:rsid w:val="00D66740"/>
    <w:rsid w:val="00D67047"/>
    <w:rsid w:val="00D767FC"/>
    <w:rsid w:val="00D77EB2"/>
    <w:rsid w:val="00D81D1C"/>
    <w:rsid w:val="00D82018"/>
    <w:rsid w:val="00D8769F"/>
    <w:rsid w:val="00D87AEF"/>
    <w:rsid w:val="00D93604"/>
    <w:rsid w:val="00D94754"/>
    <w:rsid w:val="00D95015"/>
    <w:rsid w:val="00D95A4B"/>
    <w:rsid w:val="00D9742D"/>
    <w:rsid w:val="00DA568F"/>
    <w:rsid w:val="00DB3956"/>
    <w:rsid w:val="00DB5231"/>
    <w:rsid w:val="00DB619E"/>
    <w:rsid w:val="00DB7E57"/>
    <w:rsid w:val="00DC1072"/>
    <w:rsid w:val="00DC4EEE"/>
    <w:rsid w:val="00DD062A"/>
    <w:rsid w:val="00DD2561"/>
    <w:rsid w:val="00DD3925"/>
    <w:rsid w:val="00DD52D1"/>
    <w:rsid w:val="00DD59C1"/>
    <w:rsid w:val="00DD5F3E"/>
    <w:rsid w:val="00DD6C86"/>
    <w:rsid w:val="00DE08FD"/>
    <w:rsid w:val="00DE12D8"/>
    <w:rsid w:val="00DE14C2"/>
    <w:rsid w:val="00DE4C04"/>
    <w:rsid w:val="00DE5D7C"/>
    <w:rsid w:val="00DE60D5"/>
    <w:rsid w:val="00DF21F3"/>
    <w:rsid w:val="00DF2AF5"/>
    <w:rsid w:val="00DF4532"/>
    <w:rsid w:val="00DF4767"/>
    <w:rsid w:val="00DF48D9"/>
    <w:rsid w:val="00DF560C"/>
    <w:rsid w:val="00DF582D"/>
    <w:rsid w:val="00DF7354"/>
    <w:rsid w:val="00DF7EA1"/>
    <w:rsid w:val="00E0084C"/>
    <w:rsid w:val="00E0097C"/>
    <w:rsid w:val="00E009EA"/>
    <w:rsid w:val="00E00DC4"/>
    <w:rsid w:val="00E04826"/>
    <w:rsid w:val="00E0552D"/>
    <w:rsid w:val="00E06A13"/>
    <w:rsid w:val="00E06C42"/>
    <w:rsid w:val="00E12B73"/>
    <w:rsid w:val="00E15335"/>
    <w:rsid w:val="00E17534"/>
    <w:rsid w:val="00E203A2"/>
    <w:rsid w:val="00E232E2"/>
    <w:rsid w:val="00E23742"/>
    <w:rsid w:val="00E2594C"/>
    <w:rsid w:val="00E30940"/>
    <w:rsid w:val="00E31D92"/>
    <w:rsid w:val="00E33AB0"/>
    <w:rsid w:val="00E34357"/>
    <w:rsid w:val="00E34C50"/>
    <w:rsid w:val="00E34DEF"/>
    <w:rsid w:val="00E36D1D"/>
    <w:rsid w:val="00E373F1"/>
    <w:rsid w:val="00E40194"/>
    <w:rsid w:val="00E41E8A"/>
    <w:rsid w:val="00E51375"/>
    <w:rsid w:val="00E55364"/>
    <w:rsid w:val="00E56ADC"/>
    <w:rsid w:val="00E601D2"/>
    <w:rsid w:val="00E61D94"/>
    <w:rsid w:val="00E63A66"/>
    <w:rsid w:val="00E64ACD"/>
    <w:rsid w:val="00E664C2"/>
    <w:rsid w:val="00E665EF"/>
    <w:rsid w:val="00E70652"/>
    <w:rsid w:val="00E719DF"/>
    <w:rsid w:val="00E733C9"/>
    <w:rsid w:val="00E735B8"/>
    <w:rsid w:val="00E7503D"/>
    <w:rsid w:val="00E75B7C"/>
    <w:rsid w:val="00E76A37"/>
    <w:rsid w:val="00E77C46"/>
    <w:rsid w:val="00E83355"/>
    <w:rsid w:val="00E85982"/>
    <w:rsid w:val="00E85989"/>
    <w:rsid w:val="00E85C7E"/>
    <w:rsid w:val="00E86B34"/>
    <w:rsid w:val="00E87AB0"/>
    <w:rsid w:val="00E92D7A"/>
    <w:rsid w:val="00E93B7B"/>
    <w:rsid w:val="00E94494"/>
    <w:rsid w:val="00E94A7F"/>
    <w:rsid w:val="00E97702"/>
    <w:rsid w:val="00E97C62"/>
    <w:rsid w:val="00EA4133"/>
    <w:rsid w:val="00EA5E84"/>
    <w:rsid w:val="00EB0824"/>
    <w:rsid w:val="00EB5931"/>
    <w:rsid w:val="00EC1A81"/>
    <w:rsid w:val="00EC4278"/>
    <w:rsid w:val="00EC5A3A"/>
    <w:rsid w:val="00ED72DC"/>
    <w:rsid w:val="00ED7C5E"/>
    <w:rsid w:val="00EE0F34"/>
    <w:rsid w:val="00EE3263"/>
    <w:rsid w:val="00EE37D8"/>
    <w:rsid w:val="00EE4278"/>
    <w:rsid w:val="00EE52E1"/>
    <w:rsid w:val="00EE705F"/>
    <w:rsid w:val="00EE751F"/>
    <w:rsid w:val="00EE7A77"/>
    <w:rsid w:val="00EF0174"/>
    <w:rsid w:val="00EF2689"/>
    <w:rsid w:val="00F013A1"/>
    <w:rsid w:val="00F01451"/>
    <w:rsid w:val="00F015EE"/>
    <w:rsid w:val="00F03558"/>
    <w:rsid w:val="00F04437"/>
    <w:rsid w:val="00F073C1"/>
    <w:rsid w:val="00F1157F"/>
    <w:rsid w:val="00F12BE3"/>
    <w:rsid w:val="00F1306E"/>
    <w:rsid w:val="00F1645F"/>
    <w:rsid w:val="00F168C0"/>
    <w:rsid w:val="00F17298"/>
    <w:rsid w:val="00F20ECA"/>
    <w:rsid w:val="00F22366"/>
    <w:rsid w:val="00F237B2"/>
    <w:rsid w:val="00F23A11"/>
    <w:rsid w:val="00F26F9B"/>
    <w:rsid w:val="00F27377"/>
    <w:rsid w:val="00F31F18"/>
    <w:rsid w:val="00F35A64"/>
    <w:rsid w:val="00F4043D"/>
    <w:rsid w:val="00F426F3"/>
    <w:rsid w:val="00F43CE5"/>
    <w:rsid w:val="00F44E9A"/>
    <w:rsid w:val="00F47A85"/>
    <w:rsid w:val="00F52848"/>
    <w:rsid w:val="00F5441E"/>
    <w:rsid w:val="00F545EA"/>
    <w:rsid w:val="00F60258"/>
    <w:rsid w:val="00F606C5"/>
    <w:rsid w:val="00F610DC"/>
    <w:rsid w:val="00F622B5"/>
    <w:rsid w:val="00F62482"/>
    <w:rsid w:val="00F62CFE"/>
    <w:rsid w:val="00F637D4"/>
    <w:rsid w:val="00F63EBC"/>
    <w:rsid w:val="00F70596"/>
    <w:rsid w:val="00F73E9F"/>
    <w:rsid w:val="00F760BC"/>
    <w:rsid w:val="00F774F4"/>
    <w:rsid w:val="00F8257C"/>
    <w:rsid w:val="00F84CA8"/>
    <w:rsid w:val="00F90269"/>
    <w:rsid w:val="00F904C5"/>
    <w:rsid w:val="00F92506"/>
    <w:rsid w:val="00F93A16"/>
    <w:rsid w:val="00F93B14"/>
    <w:rsid w:val="00F95A8B"/>
    <w:rsid w:val="00FA061B"/>
    <w:rsid w:val="00FA12A2"/>
    <w:rsid w:val="00FA29A3"/>
    <w:rsid w:val="00FA6922"/>
    <w:rsid w:val="00FB1306"/>
    <w:rsid w:val="00FB2A75"/>
    <w:rsid w:val="00FB30E0"/>
    <w:rsid w:val="00FB33D9"/>
    <w:rsid w:val="00FB5823"/>
    <w:rsid w:val="00FC164D"/>
    <w:rsid w:val="00FC627F"/>
    <w:rsid w:val="00FC681F"/>
    <w:rsid w:val="00FD1BC4"/>
    <w:rsid w:val="00FD2BAA"/>
    <w:rsid w:val="00FD5349"/>
    <w:rsid w:val="00FD774E"/>
    <w:rsid w:val="00FE069D"/>
    <w:rsid w:val="00FE3A6E"/>
    <w:rsid w:val="00FE3CE7"/>
    <w:rsid w:val="00FE63FB"/>
    <w:rsid w:val="00FE6B12"/>
    <w:rsid w:val="00FF36EB"/>
    <w:rsid w:val="00FF49FF"/>
    <w:rsid w:val="00FF505C"/>
    <w:rsid w:val="00FF6872"/>
    <w:rsid w:val="03A39AE3"/>
    <w:rsid w:val="08CA8A5F"/>
    <w:rsid w:val="16444772"/>
    <w:rsid w:val="18BA43A4"/>
    <w:rsid w:val="1C3E4365"/>
    <w:rsid w:val="2467BF73"/>
    <w:rsid w:val="32CF4542"/>
    <w:rsid w:val="37AC9F00"/>
    <w:rsid w:val="592A9CC8"/>
    <w:rsid w:val="62D366A8"/>
    <w:rsid w:val="7198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16619"/>
  <w15:docId w15:val="{AD78FCF5-87CD-4A9C-98B9-8FE0B3A4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3C"/>
    <w:pPr>
      <w:spacing w:after="0" w:line="240" w:lineRule="auto"/>
    </w:pPr>
    <w:rPr>
      <w:rFonts w:ascii="Tahoma" w:eastAsia="Batang" w:hAnsi="Tahoma" w:cs="Times New Roman"/>
      <w:sz w:val="14"/>
      <w:szCs w:val="24"/>
      <w:lang w:eastAsia="ko-KR"/>
    </w:rPr>
  </w:style>
  <w:style w:type="paragraph" w:styleId="Heading1">
    <w:name w:val="heading 1"/>
    <w:basedOn w:val="Normal"/>
    <w:link w:val="Heading1Char"/>
    <w:uiPriority w:val="9"/>
    <w:qFormat/>
    <w:rsid w:val="00BE56EE"/>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_ECDC,EC-Hyperlink"/>
    <w:basedOn w:val="DefaultParagraphFont"/>
    <w:uiPriority w:val="99"/>
    <w:unhideWhenUsed/>
    <w:qFormat/>
    <w:rsid w:val="004B523C"/>
    <w:rPr>
      <w:rFonts w:ascii="Tahoma" w:hAnsi="Tahoma" w:cs="Tahoma" w:hint="default"/>
      <w:color w:val="69AE23"/>
      <w:sz w:val="18"/>
      <w:u w:val="single"/>
    </w:rPr>
  </w:style>
  <w:style w:type="character" w:customStyle="1" w:styleId="FootnoteTextChar">
    <w:name w:val="Footnote Text Char"/>
    <w:aliases w:val="ft Char,Footnote Char,Char Char,Footnote Text Char Char Char,Char Char Char Char1,Char Char Char Char Char,Char Char Char Char Char Char Char,Geneva 9 Char,Font: Geneva 9 Char,Boston 10 Char,f Char,single space Char,otnote Text Char"/>
    <w:basedOn w:val="DefaultParagraphFont"/>
    <w:link w:val="FootnoteText"/>
    <w:uiPriority w:val="99"/>
    <w:semiHidden/>
    <w:locked/>
    <w:rsid w:val="004B523C"/>
    <w:rPr>
      <w:rFonts w:ascii="Times New Roman" w:eastAsiaTheme="minorEastAsia" w:hAnsi="Times New Roman" w:cs="Times New Roman"/>
      <w:sz w:val="20"/>
      <w:szCs w:val="20"/>
      <w:lang w:val="en-US" w:bidi="en-US"/>
    </w:rPr>
  </w:style>
  <w:style w:type="paragraph" w:styleId="FootnoteText">
    <w:name w:val="footnote text"/>
    <w:aliases w:val="ft,Footnote,Char,Footnote Text Char Char,Char Char Char,Char Char Char Char,Char Char Char Char Char Char,Geneva 9,Font: Geneva 9,Boston 10,f,single space,otnote Text,Fußnote,fn"/>
    <w:basedOn w:val="Normal"/>
    <w:link w:val="FootnoteTextChar"/>
    <w:uiPriority w:val="99"/>
    <w:semiHidden/>
    <w:unhideWhenUsed/>
    <w:rsid w:val="004B523C"/>
    <w:rPr>
      <w:rFonts w:ascii="Times New Roman" w:eastAsiaTheme="minorEastAsia" w:hAnsi="Times New Roman"/>
      <w:sz w:val="20"/>
      <w:szCs w:val="20"/>
      <w:lang w:val="en-US" w:eastAsia="en-US" w:bidi="en-US"/>
    </w:rPr>
  </w:style>
  <w:style w:type="character" w:customStyle="1" w:styleId="FootnoteTextChar1">
    <w:name w:val="Footnote Text Char1"/>
    <w:basedOn w:val="DefaultParagraphFont"/>
    <w:uiPriority w:val="99"/>
    <w:semiHidden/>
    <w:rsid w:val="004B523C"/>
    <w:rPr>
      <w:rFonts w:ascii="Tahoma" w:eastAsia="Batang" w:hAnsi="Tahoma" w:cs="Times New Roman"/>
      <w:sz w:val="20"/>
      <w:szCs w:val="20"/>
      <w:lang w:eastAsia="ko-KR"/>
    </w:rPr>
  </w:style>
  <w:style w:type="paragraph" w:styleId="CommentText">
    <w:name w:val="annotation text"/>
    <w:basedOn w:val="Normal"/>
    <w:link w:val="CommentTextChar"/>
    <w:uiPriority w:val="99"/>
    <w:unhideWhenUsed/>
    <w:rsid w:val="004B523C"/>
    <w:pPr>
      <w:spacing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rsid w:val="004B523C"/>
    <w:rPr>
      <w:rFonts w:eastAsiaTheme="minorEastAsia"/>
      <w:sz w:val="20"/>
      <w:szCs w:val="20"/>
      <w:lang w:eastAsia="en-GB"/>
    </w:rPr>
  </w:style>
  <w:style w:type="paragraph" w:styleId="ListBullet">
    <w:name w:val="List Bullet"/>
    <w:basedOn w:val="BodyText"/>
    <w:uiPriority w:val="99"/>
    <w:semiHidden/>
    <w:unhideWhenUsed/>
    <w:rsid w:val="004B523C"/>
    <w:pPr>
      <w:numPr>
        <w:numId w:val="5"/>
      </w:numPr>
      <w:tabs>
        <w:tab w:val="clear" w:pos="510"/>
        <w:tab w:val="num" w:pos="360"/>
      </w:tabs>
      <w:spacing w:before="120" w:line="240" w:lineRule="atLeast"/>
      <w:ind w:left="0" w:firstLine="0"/>
    </w:pPr>
    <w:rPr>
      <w:rFonts w:eastAsiaTheme="minorHAnsi" w:cs="Tahoma"/>
      <w:sz w:val="20"/>
      <w:szCs w:val="22"/>
      <w:lang w:eastAsia="en-US"/>
    </w:rPr>
  </w:style>
  <w:style w:type="paragraph" w:styleId="ListBullet2">
    <w:name w:val="List Bullet 2"/>
    <w:basedOn w:val="ListBullet"/>
    <w:uiPriority w:val="99"/>
    <w:semiHidden/>
    <w:unhideWhenUsed/>
    <w:rsid w:val="004B523C"/>
    <w:pPr>
      <w:numPr>
        <w:ilvl w:val="1"/>
      </w:numPr>
      <w:tabs>
        <w:tab w:val="clear" w:pos="1021"/>
        <w:tab w:val="num" w:pos="360"/>
      </w:tabs>
      <w:ind w:left="2007" w:hanging="360"/>
    </w:pPr>
  </w:style>
  <w:style w:type="paragraph" w:styleId="ListBullet3">
    <w:name w:val="List Bullet 3"/>
    <w:basedOn w:val="ListBullet"/>
    <w:uiPriority w:val="99"/>
    <w:semiHidden/>
    <w:unhideWhenUsed/>
    <w:rsid w:val="004B523C"/>
    <w:pPr>
      <w:numPr>
        <w:ilvl w:val="2"/>
      </w:numPr>
      <w:tabs>
        <w:tab w:val="clear" w:pos="1531"/>
        <w:tab w:val="num" w:pos="360"/>
      </w:tabs>
      <w:ind w:left="2727" w:hanging="360"/>
    </w:pPr>
  </w:style>
  <w:style w:type="paragraph" w:styleId="ListBullet4">
    <w:name w:val="List Bullet 4"/>
    <w:basedOn w:val="Normal"/>
    <w:uiPriority w:val="99"/>
    <w:semiHidden/>
    <w:unhideWhenUsed/>
    <w:rsid w:val="004B523C"/>
    <w:pPr>
      <w:numPr>
        <w:ilvl w:val="3"/>
        <w:numId w:val="5"/>
      </w:numPr>
      <w:spacing w:before="120" w:after="80" w:line="240" w:lineRule="atLeast"/>
      <w:contextualSpacing/>
    </w:pPr>
    <w:rPr>
      <w:rFonts w:eastAsiaTheme="minorHAnsi" w:cstheme="minorBidi"/>
      <w:sz w:val="20"/>
      <w:szCs w:val="22"/>
      <w:lang w:eastAsia="en-US"/>
    </w:rPr>
  </w:style>
  <w:style w:type="paragraph" w:styleId="ListBullet5">
    <w:name w:val="List Bullet 5"/>
    <w:basedOn w:val="BodyText"/>
    <w:uiPriority w:val="99"/>
    <w:semiHidden/>
    <w:unhideWhenUsed/>
    <w:rsid w:val="004B523C"/>
    <w:pPr>
      <w:numPr>
        <w:ilvl w:val="4"/>
        <w:numId w:val="5"/>
      </w:numPr>
      <w:tabs>
        <w:tab w:val="clear" w:pos="340"/>
        <w:tab w:val="num" w:pos="360"/>
      </w:tabs>
      <w:spacing w:before="20" w:after="40" w:line="200" w:lineRule="atLeast"/>
      <w:ind w:left="0" w:firstLine="0"/>
    </w:pPr>
    <w:rPr>
      <w:rFonts w:eastAsiaTheme="minorHAnsi" w:cs="Tahoma"/>
      <w:sz w:val="20"/>
      <w:szCs w:val="22"/>
      <w:lang w:eastAsia="en-US"/>
    </w:rPr>
  </w:style>
  <w:style w:type="paragraph" w:styleId="ListParagraph">
    <w:name w:val="List Paragraph"/>
    <w:aliases w:val="ECDC AF Paragraph"/>
    <w:basedOn w:val="Normal"/>
    <w:uiPriority w:val="34"/>
    <w:qFormat/>
    <w:rsid w:val="004B523C"/>
    <w:pPr>
      <w:spacing w:after="120" w:line="264" w:lineRule="exact"/>
      <w:ind w:left="720"/>
      <w:contextualSpacing/>
    </w:pPr>
    <w:rPr>
      <w:rFonts w:eastAsia="Times New Roman"/>
      <w:color w:val="000000"/>
      <w:sz w:val="22"/>
      <w:szCs w:val="22"/>
      <w:lang w:eastAsia="en-US"/>
    </w:rPr>
  </w:style>
  <w:style w:type="character" w:customStyle="1" w:styleId="EC-Title-6CharChar">
    <w:name w:val="EC-Title-6 Char Char"/>
    <w:link w:val="EC-Title-6"/>
    <w:uiPriority w:val="99"/>
    <w:locked/>
    <w:rsid w:val="004B523C"/>
    <w:rPr>
      <w:rFonts w:ascii="Tahoma" w:eastAsia="Batang" w:hAnsi="Tahoma" w:cs="Times New Roman"/>
      <w:b/>
      <w:bCs/>
      <w:color w:val="69AE23"/>
      <w:sz w:val="26"/>
      <w:szCs w:val="26"/>
    </w:rPr>
  </w:style>
  <w:style w:type="paragraph" w:customStyle="1" w:styleId="EC-Para">
    <w:name w:val="EC-Para"/>
    <w:link w:val="EC-ParaCharChar"/>
    <w:qFormat/>
    <w:rsid w:val="004B523C"/>
    <w:pPr>
      <w:kinsoku w:val="0"/>
      <w:autoSpaceDE w:val="0"/>
      <w:autoSpaceDN w:val="0"/>
      <w:adjustRightInd w:val="0"/>
      <w:spacing w:after="120" w:line="200" w:lineRule="atLeast"/>
    </w:pPr>
    <w:rPr>
      <w:rFonts w:ascii="Tahoma" w:eastAsia="Arial Unicode MS" w:hAnsi="Tahoma" w:cs="Times New Roman"/>
      <w:kern w:val="22"/>
      <w:sz w:val="18"/>
      <w:szCs w:val="18"/>
      <w:lang w:eastAsia="ko-KR"/>
    </w:rPr>
  </w:style>
  <w:style w:type="paragraph" w:customStyle="1" w:styleId="EC-Title-6">
    <w:name w:val="EC-Title-6"/>
    <w:next w:val="EC-Para"/>
    <w:link w:val="EC-Title-6CharChar"/>
    <w:uiPriority w:val="99"/>
    <w:qFormat/>
    <w:rsid w:val="004B523C"/>
    <w:pPr>
      <w:widowControl w:val="0"/>
      <w:spacing w:before="120" w:after="120" w:line="240" w:lineRule="auto"/>
      <w:outlineLvl w:val="2"/>
    </w:pPr>
    <w:rPr>
      <w:rFonts w:ascii="Tahoma" w:eastAsia="Batang" w:hAnsi="Tahoma" w:cs="Times New Roman"/>
      <w:b/>
      <w:bCs/>
      <w:color w:val="69AE23"/>
      <w:sz w:val="26"/>
      <w:szCs w:val="26"/>
    </w:rPr>
  </w:style>
  <w:style w:type="character" w:customStyle="1" w:styleId="EC-Title-5CharChar">
    <w:name w:val="EC-Title-5 Char Char"/>
    <w:basedOn w:val="DefaultParagraphFont"/>
    <w:link w:val="EC-Title-5"/>
    <w:uiPriority w:val="99"/>
    <w:locked/>
    <w:rsid w:val="004B523C"/>
    <w:rPr>
      <w:rFonts w:ascii="Tahoma" w:eastAsia="Batang" w:hAnsi="Tahoma" w:cs="Tahoma"/>
      <w:b/>
      <w:bCs/>
      <w:color w:val="69AE23"/>
      <w:sz w:val="30"/>
      <w:szCs w:val="30"/>
    </w:rPr>
  </w:style>
  <w:style w:type="paragraph" w:customStyle="1" w:styleId="EC-Title-5">
    <w:name w:val="EC-Title-5"/>
    <w:next w:val="EC-Para"/>
    <w:link w:val="EC-Title-5CharChar"/>
    <w:uiPriority w:val="99"/>
    <w:qFormat/>
    <w:rsid w:val="004B523C"/>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ParaCharChar">
    <w:name w:val="EC-Para Char Char"/>
    <w:basedOn w:val="DefaultParagraphFont"/>
    <w:link w:val="EC-Para"/>
    <w:locked/>
    <w:rsid w:val="004B523C"/>
    <w:rPr>
      <w:rFonts w:ascii="Tahoma" w:eastAsia="Arial Unicode MS" w:hAnsi="Tahoma" w:cs="Times New Roman"/>
      <w:kern w:val="22"/>
      <w:sz w:val="18"/>
      <w:szCs w:val="18"/>
      <w:lang w:eastAsia="ko-KR"/>
    </w:rPr>
  </w:style>
  <w:style w:type="paragraph" w:customStyle="1" w:styleId="Default">
    <w:name w:val="Default"/>
    <w:rsid w:val="004B523C"/>
    <w:pPr>
      <w:widowControl w:val="0"/>
      <w:autoSpaceDE w:val="0"/>
      <w:autoSpaceDN w:val="0"/>
      <w:adjustRightInd w:val="0"/>
      <w:spacing w:after="0" w:line="240" w:lineRule="auto"/>
    </w:pPr>
    <w:rPr>
      <w:rFonts w:ascii="Cambria" w:eastAsia="Times New Roman" w:hAnsi="Cambria" w:cs="Cambria"/>
      <w:color w:val="000000"/>
      <w:sz w:val="24"/>
      <w:szCs w:val="24"/>
      <w:lang w:eastAsia="en-GB"/>
    </w:rPr>
  </w:style>
  <w:style w:type="paragraph" w:customStyle="1" w:styleId="CM4">
    <w:name w:val="CM4"/>
    <w:basedOn w:val="Default"/>
    <w:next w:val="Default"/>
    <w:uiPriority w:val="99"/>
    <w:rsid w:val="004B523C"/>
    <w:pPr>
      <w:widowControl/>
    </w:pPr>
    <w:rPr>
      <w:rFonts w:ascii="EUAlbertina" w:eastAsiaTheme="minorHAnsi" w:hAnsi="EUAlbertina" w:cs="Times New Roman"/>
      <w:color w:val="auto"/>
      <w:lang w:eastAsia="en-US"/>
    </w:rPr>
  </w:style>
  <w:style w:type="character" w:styleId="FootnoteReference">
    <w:name w:val="footnote reference"/>
    <w:aliases w:val="Rimando nota a pièdi pagina1,Footnote symbol"/>
    <w:basedOn w:val="DefaultParagraphFont"/>
    <w:uiPriority w:val="99"/>
    <w:unhideWhenUsed/>
    <w:rsid w:val="004B523C"/>
    <w:rPr>
      <w:vertAlign w:val="superscript"/>
    </w:rPr>
  </w:style>
  <w:style w:type="character" w:styleId="CommentReference">
    <w:name w:val="annotation reference"/>
    <w:basedOn w:val="DefaultParagraphFont"/>
    <w:uiPriority w:val="99"/>
    <w:unhideWhenUsed/>
    <w:rsid w:val="004B523C"/>
    <w:rPr>
      <w:sz w:val="16"/>
      <w:szCs w:val="16"/>
    </w:rPr>
  </w:style>
  <w:style w:type="table" w:styleId="TableGrid">
    <w:name w:val="Table Grid"/>
    <w:basedOn w:val="TableNormal"/>
    <w:rsid w:val="004B523C"/>
    <w:pPr>
      <w:spacing w:after="0" w:line="240" w:lineRule="auto"/>
    </w:pPr>
    <w:rPr>
      <w:rFonts w:ascii="Tahoma" w:eastAsia="Batang" w:hAnsi="Tahom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cl-Bullets">
    <w:name w:val="ecl-Bullets"/>
    <w:uiPriority w:val="99"/>
    <w:rsid w:val="004B523C"/>
    <w:pPr>
      <w:numPr>
        <w:numId w:val="5"/>
      </w:numPr>
    </w:pPr>
  </w:style>
  <w:style w:type="character" w:styleId="Emphasis">
    <w:name w:val="Emphasis"/>
    <w:basedOn w:val="DefaultParagraphFont"/>
    <w:uiPriority w:val="20"/>
    <w:qFormat/>
    <w:rsid w:val="004B523C"/>
    <w:rPr>
      <w:i/>
      <w:iCs/>
    </w:rPr>
  </w:style>
  <w:style w:type="paragraph" w:styleId="BodyText">
    <w:name w:val="Body Text"/>
    <w:basedOn w:val="Normal"/>
    <w:link w:val="BodyTextChar"/>
    <w:uiPriority w:val="99"/>
    <w:semiHidden/>
    <w:unhideWhenUsed/>
    <w:rsid w:val="004B523C"/>
    <w:pPr>
      <w:spacing w:after="120"/>
    </w:pPr>
  </w:style>
  <w:style w:type="character" w:customStyle="1" w:styleId="BodyTextChar">
    <w:name w:val="Body Text Char"/>
    <w:basedOn w:val="DefaultParagraphFont"/>
    <w:link w:val="BodyText"/>
    <w:uiPriority w:val="99"/>
    <w:semiHidden/>
    <w:rsid w:val="004B523C"/>
    <w:rPr>
      <w:rFonts w:ascii="Tahoma" w:eastAsia="Batang" w:hAnsi="Tahoma" w:cs="Times New Roman"/>
      <w:sz w:val="14"/>
      <w:szCs w:val="24"/>
      <w:lang w:eastAsia="ko-KR"/>
    </w:rPr>
  </w:style>
  <w:style w:type="paragraph" w:styleId="BalloonText">
    <w:name w:val="Balloon Text"/>
    <w:basedOn w:val="Normal"/>
    <w:link w:val="BalloonTextChar"/>
    <w:uiPriority w:val="99"/>
    <w:semiHidden/>
    <w:unhideWhenUsed/>
    <w:rsid w:val="004B523C"/>
    <w:rPr>
      <w:rFonts w:cs="Tahoma"/>
      <w:sz w:val="16"/>
      <w:szCs w:val="16"/>
    </w:rPr>
  </w:style>
  <w:style w:type="character" w:customStyle="1" w:styleId="BalloonTextChar">
    <w:name w:val="Balloon Text Char"/>
    <w:basedOn w:val="DefaultParagraphFont"/>
    <w:link w:val="BalloonText"/>
    <w:uiPriority w:val="99"/>
    <w:semiHidden/>
    <w:rsid w:val="004B523C"/>
    <w:rPr>
      <w:rFonts w:ascii="Tahoma" w:eastAsia="Batang" w:hAnsi="Tahoma" w:cs="Tahoma"/>
      <w:sz w:val="16"/>
      <w:szCs w:val="16"/>
      <w:lang w:eastAsia="ko-KR"/>
    </w:rPr>
  </w:style>
  <w:style w:type="character" w:customStyle="1" w:styleId="st1">
    <w:name w:val="st1"/>
    <w:basedOn w:val="DefaultParagraphFont"/>
    <w:rsid w:val="00F44E9A"/>
  </w:style>
  <w:style w:type="paragraph" w:customStyle="1" w:styleId="CM1">
    <w:name w:val="CM1"/>
    <w:basedOn w:val="Default"/>
    <w:next w:val="Default"/>
    <w:uiPriority w:val="99"/>
    <w:rsid w:val="008F0C94"/>
    <w:pPr>
      <w:widowControl/>
    </w:pPr>
    <w:rPr>
      <w:rFonts w:ascii="EUAlbertina" w:eastAsiaTheme="minorHAnsi" w:hAnsi="EUAlbertina" w:cstheme="minorBidi"/>
      <w:color w:val="auto"/>
      <w:lang w:eastAsia="en-US"/>
    </w:rPr>
  </w:style>
  <w:style w:type="paragraph" w:customStyle="1" w:styleId="CM3">
    <w:name w:val="CM3"/>
    <w:basedOn w:val="Default"/>
    <w:next w:val="Default"/>
    <w:uiPriority w:val="99"/>
    <w:rsid w:val="008F0C94"/>
    <w:pPr>
      <w:widowControl/>
    </w:pPr>
    <w:rPr>
      <w:rFonts w:ascii="EUAlbertina" w:eastAsiaTheme="minorHAnsi" w:hAnsi="EUAlbertina" w:cstheme="minorBidi"/>
      <w:color w:val="auto"/>
      <w:lang w:eastAsia="en-US"/>
    </w:rPr>
  </w:style>
  <w:style w:type="character" w:customStyle="1" w:styleId="apple-converted-space">
    <w:name w:val="apple-converted-space"/>
    <w:basedOn w:val="DefaultParagraphFont"/>
    <w:rsid w:val="002905BA"/>
  </w:style>
  <w:style w:type="character" w:customStyle="1" w:styleId="Heading1Char">
    <w:name w:val="Heading 1 Char"/>
    <w:basedOn w:val="DefaultParagraphFont"/>
    <w:link w:val="Heading1"/>
    <w:uiPriority w:val="9"/>
    <w:rsid w:val="00BE56EE"/>
    <w:rPr>
      <w:rFonts w:ascii="Times New Roman" w:eastAsia="Times New Roman" w:hAnsi="Times New Roman" w:cs="Times New Roman"/>
      <w:b/>
      <w:bCs/>
      <w:kern w:val="36"/>
      <w:sz w:val="48"/>
      <w:szCs w:val="48"/>
      <w:lang w:eastAsia="en-GB"/>
    </w:rPr>
  </w:style>
  <w:style w:type="paragraph" w:styleId="CommentSubject">
    <w:name w:val="annotation subject"/>
    <w:basedOn w:val="CommentText"/>
    <w:next w:val="CommentText"/>
    <w:link w:val="CommentSubjectChar"/>
    <w:uiPriority w:val="99"/>
    <w:semiHidden/>
    <w:unhideWhenUsed/>
    <w:rsid w:val="00101E30"/>
    <w:pPr>
      <w:spacing w:after="0"/>
    </w:pPr>
    <w:rPr>
      <w:rFonts w:ascii="Tahoma" w:eastAsia="Batang" w:hAnsi="Tahoma" w:cs="Times New Roman"/>
      <w:b/>
      <w:bCs/>
      <w:lang w:eastAsia="ko-KR"/>
    </w:rPr>
  </w:style>
  <w:style w:type="character" w:customStyle="1" w:styleId="CommentSubjectChar">
    <w:name w:val="Comment Subject Char"/>
    <w:basedOn w:val="CommentTextChar"/>
    <w:link w:val="CommentSubject"/>
    <w:uiPriority w:val="99"/>
    <w:semiHidden/>
    <w:rsid w:val="00101E30"/>
    <w:rPr>
      <w:rFonts w:ascii="Tahoma" w:eastAsia="Batang" w:hAnsi="Tahoma" w:cs="Times New Roman"/>
      <w:b/>
      <w:bCs/>
      <w:sz w:val="20"/>
      <w:szCs w:val="20"/>
      <w:lang w:eastAsia="ko-KR"/>
    </w:rPr>
  </w:style>
  <w:style w:type="character" w:styleId="FollowedHyperlink">
    <w:name w:val="FollowedHyperlink"/>
    <w:basedOn w:val="DefaultParagraphFont"/>
    <w:uiPriority w:val="99"/>
    <w:semiHidden/>
    <w:unhideWhenUsed/>
    <w:rsid w:val="00B07F94"/>
    <w:rPr>
      <w:color w:val="800080" w:themeColor="followedHyperlink"/>
      <w:u w:val="single"/>
    </w:rPr>
  </w:style>
  <w:style w:type="paragraph" w:styleId="TOCHeading">
    <w:name w:val="TOC Heading"/>
    <w:basedOn w:val="Heading1"/>
    <w:next w:val="Normal"/>
    <w:uiPriority w:val="39"/>
    <w:unhideWhenUsed/>
    <w:qFormat/>
    <w:rsid w:val="00F5284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6B231B"/>
    <w:pPr>
      <w:tabs>
        <w:tab w:val="right" w:leader="dot" w:pos="9016"/>
      </w:tabs>
      <w:spacing w:after="100"/>
      <w:ind w:left="140"/>
    </w:pPr>
    <w:rPr>
      <w:noProof/>
    </w:rPr>
  </w:style>
  <w:style w:type="paragraph" w:styleId="TOC3">
    <w:name w:val="toc 3"/>
    <w:basedOn w:val="Normal"/>
    <w:next w:val="Normal"/>
    <w:autoRedefine/>
    <w:uiPriority w:val="39"/>
    <w:unhideWhenUsed/>
    <w:rsid w:val="00F52848"/>
    <w:pPr>
      <w:spacing w:after="100"/>
      <w:ind w:left="280"/>
    </w:pPr>
  </w:style>
  <w:style w:type="paragraph" w:styleId="TOC1">
    <w:name w:val="toc 1"/>
    <w:basedOn w:val="Normal"/>
    <w:next w:val="Normal"/>
    <w:autoRedefine/>
    <w:uiPriority w:val="39"/>
    <w:unhideWhenUsed/>
    <w:rsid w:val="00F52848"/>
    <w:pPr>
      <w:spacing w:after="100"/>
    </w:pPr>
  </w:style>
  <w:style w:type="paragraph" w:customStyle="1" w:styleId="TextText">
    <w:name w:val="Text (Text)"/>
    <w:basedOn w:val="Normal"/>
    <w:uiPriority w:val="99"/>
    <w:rsid w:val="00FD2BAA"/>
    <w:pPr>
      <w:tabs>
        <w:tab w:val="left" w:pos="227"/>
      </w:tabs>
      <w:autoSpaceDE w:val="0"/>
      <w:autoSpaceDN w:val="0"/>
      <w:adjustRightInd w:val="0"/>
      <w:spacing w:before="113" w:after="57" w:line="276" w:lineRule="auto"/>
      <w:jc w:val="both"/>
      <w:textAlignment w:val="center"/>
    </w:pPr>
    <w:rPr>
      <w:rFonts w:eastAsia="Arial Unicode MS"/>
      <w:kern w:val="22"/>
      <w:sz w:val="18"/>
      <w:szCs w:val="18"/>
    </w:rPr>
  </w:style>
  <w:style w:type="paragraph" w:customStyle="1" w:styleId="ec-para0">
    <w:name w:val="ec-para"/>
    <w:basedOn w:val="Normal"/>
    <w:rsid w:val="00FD2BAA"/>
    <w:pPr>
      <w:spacing w:after="150"/>
    </w:pPr>
    <w:rPr>
      <w:rFonts w:ascii="Times New Roman" w:eastAsia="Times New Roman" w:hAnsi="Times New Roman"/>
      <w:sz w:val="24"/>
      <w:lang w:eastAsia="en-GB"/>
    </w:rPr>
  </w:style>
  <w:style w:type="paragraph" w:customStyle="1" w:styleId="Headline2Headlines">
    <w:name w:val="Headline2 (Headlines)"/>
    <w:basedOn w:val="Normal"/>
    <w:uiPriority w:val="99"/>
    <w:rsid w:val="00FD2BAA"/>
    <w:pPr>
      <w:keepNext/>
      <w:keepLines/>
      <w:suppressAutoHyphens/>
      <w:autoSpaceDE w:val="0"/>
      <w:autoSpaceDN w:val="0"/>
      <w:adjustRightInd w:val="0"/>
      <w:spacing w:before="170" w:line="200" w:lineRule="atLeast"/>
      <w:textAlignment w:val="center"/>
    </w:pPr>
    <w:rPr>
      <w:rFonts w:ascii="MetaPro-Bold" w:eastAsia="Calibri" w:hAnsi="MetaPro-Bold" w:cs="MetaPro-Bold"/>
      <w:b/>
      <w:bCs/>
      <w:color w:val="69AF22"/>
      <w:sz w:val="20"/>
      <w:szCs w:val="20"/>
      <w:lang w:eastAsia="en-US"/>
    </w:rPr>
  </w:style>
  <w:style w:type="paragraph" w:styleId="Revision">
    <w:name w:val="Revision"/>
    <w:hidden/>
    <w:uiPriority w:val="99"/>
    <w:semiHidden/>
    <w:rsid w:val="00761933"/>
    <w:pPr>
      <w:spacing w:after="0" w:line="240" w:lineRule="auto"/>
    </w:pPr>
    <w:rPr>
      <w:rFonts w:ascii="Tahoma" w:eastAsia="Batang" w:hAnsi="Tahoma" w:cs="Times New Roman"/>
      <w:sz w:val="14"/>
      <w:szCs w:val="24"/>
      <w:lang w:eastAsia="ko-KR"/>
    </w:rPr>
  </w:style>
  <w:style w:type="character" w:styleId="UnresolvedMention">
    <w:name w:val="Unresolved Mention"/>
    <w:basedOn w:val="DefaultParagraphFont"/>
    <w:uiPriority w:val="99"/>
    <w:semiHidden/>
    <w:unhideWhenUsed/>
    <w:rsid w:val="00D200A3"/>
    <w:rPr>
      <w:color w:val="605E5C"/>
      <w:shd w:val="clear" w:color="auto" w:fill="E1DFDD"/>
    </w:rPr>
  </w:style>
  <w:style w:type="paragraph" w:styleId="Header">
    <w:name w:val="header"/>
    <w:basedOn w:val="Normal"/>
    <w:link w:val="HeaderChar"/>
    <w:uiPriority w:val="99"/>
    <w:unhideWhenUsed/>
    <w:rsid w:val="00822410"/>
    <w:pPr>
      <w:tabs>
        <w:tab w:val="center" w:pos="4513"/>
        <w:tab w:val="right" w:pos="9026"/>
      </w:tabs>
    </w:pPr>
  </w:style>
  <w:style w:type="character" w:customStyle="1" w:styleId="HeaderChar">
    <w:name w:val="Header Char"/>
    <w:basedOn w:val="DefaultParagraphFont"/>
    <w:link w:val="Header"/>
    <w:uiPriority w:val="99"/>
    <w:rsid w:val="00822410"/>
    <w:rPr>
      <w:rFonts w:ascii="Tahoma" w:eastAsia="Batang" w:hAnsi="Tahoma" w:cs="Times New Roman"/>
      <w:sz w:val="14"/>
      <w:szCs w:val="24"/>
      <w:lang w:eastAsia="ko-KR"/>
    </w:rPr>
  </w:style>
  <w:style w:type="paragraph" w:styleId="Footer">
    <w:name w:val="footer"/>
    <w:basedOn w:val="Normal"/>
    <w:link w:val="FooterChar"/>
    <w:uiPriority w:val="99"/>
    <w:semiHidden/>
    <w:unhideWhenUsed/>
    <w:rsid w:val="00822410"/>
    <w:pPr>
      <w:tabs>
        <w:tab w:val="center" w:pos="4513"/>
        <w:tab w:val="right" w:pos="9026"/>
      </w:tabs>
    </w:pPr>
  </w:style>
  <w:style w:type="character" w:customStyle="1" w:styleId="FooterChar">
    <w:name w:val="Footer Char"/>
    <w:basedOn w:val="DefaultParagraphFont"/>
    <w:link w:val="Footer"/>
    <w:uiPriority w:val="99"/>
    <w:semiHidden/>
    <w:rsid w:val="00822410"/>
    <w:rPr>
      <w:rFonts w:ascii="Tahoma" w:eastAsia="Batang" w:hAnsi="Tahoma" w:cs="Times New Roman"/>
      <w:sz w:val="14"/>
      <w:szCs w:val="24"/>
      <w:lang w:eastAsia="ko-KR"/>
    </w:rPr>
  </w:style>
  <w:style w:type="character" w:styleId="Mention">
    <w:name w:val="Mention"/>
    <w:basedOn w:val="DefaultParagraphFont"/>
    <w:uiPriority w:val="99"/>
    <w:unhideWhenUsed/>
    <w:rsid w:val="001C75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7802">
      <w:bodyDiv w:val="1"/>
      <w:marLeft w:val="0"/>
      <w:marRight w:val="0"/>
      <w:marTop w:val="0"/>
      <w:marBottom w:val="0"/>
      <w:divBdr>
        <w:top w:val="none" w:sz="0" w:space="0" w:color="auto"/>
        <w:left w:val="none" w:sz="0" w:space="0" w:color="auto"/>
        <w:bottom w:val="none" w:sz="0" w:space="0" w:color="auto"/>
        <w:right w:val="none" w:sz="0" w:space="0" w:color="auto"/>
      </w:divBdr>
    </w:div>
    <w:div w:id="127557873">
      <w:bodyDiv w:val="1"/>
      <w:marLeft w:val="0"/>
      <w:marRight w:val="0"/>
      <w:marTop w:val="0"/>
      <w:marBottom w:val="0"/>
      <w:divBdr>
        <w:top w:val="none" w:sz="0" w:space="0" w:color="auto"/>
        <w:left w:val="none" w:sz="0" w:space="0" w:color="auto"/>
        <w:bottom w:val="none" w:sz="0" w:space="0" w:color="auto"/>
        <w:right w:val="none" w:sz="0" w:space="0" w:color="auto"/>
      </w:divBdr>
    </w:div>
    <w:div w:id="422535010">
      <w:bodyDiv w:val="1"/>
      <w:marLeft w:val="0"/>
      <w:marRight w:val="0"/>
      <w:marTop w:val="0"/>
      <w:marBottom w:val="0"/>
      <w:divBdr>
        <w:top w:val="none" w:sz="0" w:space="0" w:color="auto"/>
        <w:left w:val="none" w:sz="0" w:space="0" w:color="auto"/>
        <w:bottom w:val="none" w:sz="0" w:space="0" w:color="auto"/>
        <w:right w:val="none" w:sz="0" w:space="0" w:color="auto"/>
      </w:divBdr>
    </w:div>
    <w:div w:id="489715520">
      <w:bodyDiv w:val="1"/>
      <w:marLeft w:val="0"/>
      <w:marRight w:val="0"/>
      <w:marTop w:val="0"/>
      <w:marBottom w:val="0"/>
      <w:divBdr>
        <w:top w:val="none" w:sz="0" w:space="0" w:color="auto"/>
        <w:left w:val="none" w:sz="0" w:space="0" w:color="auto"/>
        <w:bottom w:val="none" w:sz="0" w:space="0" w:color="auto"/>
        <w:right w:val="none" w:sz="0" w:space="0" w:color="auto"/>
      </w:divBdr>
    </w:div>
    <w:div w:id="508565406">
      <w:bodyDiv w:val="1"/>
      <w:marLeft w:val="0"/>
      <w:marRight w:val="0"/>
      <w:marTop w:val="0"/>
      <w:marBottom w:val="0"/>
      <w:divBdr>
        <w:top w:val="none" w:sz="0" w:space="0" w:color="auto"/>
        <w:left w:val="none" w:sz="0" w:space="0" w:color="auto"/>
        <w:bottom w:val="none" w:sz="0" w:space="0" w:color="auto"/>
        <w:right w:val="none" w:sz="0" w:space="0" w:color="auto"/>
      </w:divBdr>
    </w:div>
    <w:div w:id="566112434">
      <w:bodyDiv w:val="1"/>
      <w:marLeft w:val="0"/>
      <w:marRight w:val="0"/>
      <w:marTop w:val="0"/>
      <w:marBottom w:val="0"/>
      <w:divBdr>
        <w:top w:val="none" w:sz="0" w:space="0" w:color="auto"/>
        <w:left w:val="none" w:sz="0" w:space="0" w:color="auto"/>
        <w:bottom w:val="none" w:sz="0" w:space="0" w:color="auto"/>
        <w:right w:val="none" w:sz="0" w:space="0" w:color="auto"/>
      </w:divBdr>
    </w:div>
    <w:div w:id="574321092">
      <w:bodyDiv w:val="1"/>
      <w:marLeft w:val="0"/>
      <w:marRight w:val="0"/>
      <w:marTop w:val="0"/>
      <w:marBottom w:val="0"/>
      <w:divBdr>
        <w:top w:val="none" w:sz="0" w:space="0" w:color="auto"/>
        <w:left w:val="none" w:sz="0" w:space="0" w:color="auto"/>
        <w:bottom w:val="none" w:sz="0" w:space="0" w:color="auto"/>
        <w:right w:val="none" w:sz="0" w:space="0" w:color="auto"/>
      </w:divBdr>
    </w:div>
    <w:div w:id="635722963">
      <w:bodyDiv w:val="1"/>
      <w:marLeft w:val="0"/>
      <w:marRight w:val="0"/>
      <w:marTop w:val="0"/>
      <w:marBottom w:val="0"/>
      <w:divBdr>
        <w:top w:val="none" w:sz="0" w:space="0" w:color="auto"/>
        <w:left w:val="none" w:sz="0" w:space="0" w:color="auto"/>
        <w:bottom w:val="none" w:sz="0" w:space="0" w:color="auto"/>
        <w:right w:val="none" w:sz="0" w:space="0" w:color="auto"/>
      </w:divBdr>
    </w:div>
    <w:div w:id="674647178">
      <w:bodyDiv w:val="1"/>
      <w:marLeft w:val="0"/>
      <w:marRight w:val="0"/>
      <w:marTop w:val="0"/>
      <w:marBottom w:val="0"/>
      <w:divBdr>
        <w:top w:val="none" w:sz="0" w:space="0" w:color="auto"/>
        <w:left w:val="none" w:sz="0" w:space="0" w:color="auto"/>
        <w:bottom w:val="none" w:sz="0" w:space="0" w:color="auto"/>
        <w:right w:val="none" w:sz="0" w:space="0" w:color="auto"/>
      </w:divBdr>
    </w:div>
    <w:div w:id="733895742">
      <w:bodyDiv w:val="1"/>
      <w:marLeft w:val="0"/>
      <w:marRight w:val="0"/>
      <w:marTop w:val="0"/>
      <w:marBottom w:val="0"/>
      <w:divBdr>
        <w:top w:val="none" w:sz="0" w:space="0" w:color="auto"/>
        <w:left w:val="none" w:sz="0" w:space="0" w:color="auto"/>
        <w:bottom w:val="none" w:sz="0" w:space="0" w:color="auto"/>
        <w:right w:val="none" w:sz="0" w:space="0" w:color="auto"/>
      </w:divBdr>
    </w:div>
    <w:div w:id="740951321">
      <w:bodyDiv w:val="1"/>
      <w:marLeft w:val="0"/>
      <w:marRight w:val="0"/>
      <w:marTop w:val="0"/>
      <w:marBottom w:val="0"/>
      <w:divBdr>
        <w:top w:val="none" w:sz="0" w:space="0" w:color="auto"/>
        <w:left w:val="none" w:sz="0" w:space="0" w:color="auto"/>
        <w:bottom w:val="none" w:sz="0" w:space="0" w:color="auto"/>
        <w:right w:val="none" w:sz="0" w:space="0" w:color="auto"/>
      </w:divBdr>
    </w:div>
    <w:div w:id="892696508">
      <w:bodyDiv w:val="1"/>
      <w:marLeft w:val="0"/>
      <w:marRight w:val="0"/>
      <w:marTop w:val="0"/>
      <w:marBottom w:val="0"/>
      <w:divBdr>
        <w:top w:val="none" w:sz="0" w:space="0" w:color="auto"/>
        <w:left w:val="none" w:sz="0" w:space="0" w:color="auto"/>
        <w:bottom w:val="none" w:sz="0" w:space="0" w:color="auto"/>
        <w:right w:val="none" w:sz="0" w:space="0" w:color="auto"/>
      </w:divBdr>
    </w:div>
    <w:div w:id="979923084">
      <w:bodyDiv w:val="1"/>
      <w:marLeft w:val="0"/>
      <w:marRight w:val="0"/>
      <w:marTop w:val="0"/>
      <w:marBottom w:val="0"/>
      <w:divBdr>
        <w:top w:val="none" w:sz="0" w:space="0" w:color="auto"/>
        <w:left w:val="none" w:sz="0" w:space="0" w:color="auto"/>
        <w:bottom w:val="none" w:sz="0" w:space="0" w:color="auto"/>
        <w:right w:val="none" w:sz="0" w:space="0" w:color="auto"/>
      </w:divBdr>
    </w:div>
    <w:div w:id="1009719668">
      <w:bodyDiv w:val="1"/>
      <w:marLeft w:val="0"/>
      <w:marRight w:val="0"/>
      <w:marTop w:val="0"/>
      <w:marBottom w:val="0"/>
      <w:divBdr>
        <w:top w:val="none" w:sz="0" w:space="0" w:color="auto"/>
        <w:left w:val="none" w:sz="0" w:space="0" w:color="auto"/>
        <w:bottom w:val="none" w:sz="0" w:space="0" w:color="auto"/>
        <w:right w:val="none" w:sz="0" w:space="0" w:color="auto"/>
      </w:divBdr>
    </w:div>
    <w:div w:id="1045451407">
      <w:bodyDiv w:val="1"/>
      <w:marLeft w:val="0"/>
      <w:marRight w:val="0"/>
      <w:marTop w:val="0"/>
      <w:marBottom w:val="0"/>
      <w:divBdr>
        <w:top w:val="none" w:sz="0" w:space="0" w:color="auto"/>
        <w:left w:val="none" w:sz="0" w:space="0" w:color="auto"/>
        <w:bottom w:val="none" w:sz="0" w:space="0" w:color="auto"/>
        <w:right w:val="none" w:sz="0" w:space="0" w:color="auto"/>
      </w:divBdr>
    </w:div>
    <w:div w:id="1074281272">
      <w:bodyDiv w:val="1"/>
      <w:marLeft w:val="0"/>
      <w:marRight w:val="0"/>
      <w:marTop w:val="0"/>
      <w:marBottom w:val="0"/>
      <w:divBdr>
        <w:top w:val="none" w:sz="0" w:space="0" w:color="auto"/>
        <w:left w:val="none" w:sz="0" w:space="0" w:color="auto"/>
        <w:bottom w:val="none" w:sz="0" w:space="0" w:color="auto"/>
        <w:right w:val="none" w:sz="0" w:space="0" w:color="auto"/>
      </w:divBdr>
    </w:div>
    <w:div w:id="1079055740">
      <w:bodyDiv w:val="1"/>
      <w:marLeft w:val="0"/>
      <w:marRight w:val="0"/>
      <w:marTop w:val="0"/>
      <w:marBottom w:val="0"/>
      <w:divBdr>
        <w:top w:val="none" w:sz="0" w:space="0" w:color="auto"/>
        <w:left w:val="none" w:sz="0" w:space="0" w:color="auto"/>
        <w:bottom w:val="none" w:sz="0" w:space="0" w:color="auto"/>
        <w:right w:val="none" w:sz="0" w:space="0" w:color="auto"/>
      </w:divBdr>
    </w:div>
    <w:div w:id="1118525459">
      <w:bodyDiv w:val="1"/>
      <w:marLeft w:val="0"/>
      <w:marRight w:val="0"/>
      <w:marTop w:val="0"/>
      <w:marBottom w:val="0"/>
      <w:divBdr>
        <w:top w:val="none" w:sz="0" w:space="0" w:color="auto"/>
        <w:left w:val="none" w:sz="0" w:space="0" w:color="auto"/>
        <w:bottom w:val="none" w:sz="0" w:space="0" w:color="auto"/>
        <w:right w:val="none" w:sz="0" w:space="0" w:color="auto"/>
      </w:divBdr>
    </w:div>
    <w:div w:id="1186865638">
      <w:bodyDiv w:val="1"/>
      <w:marLeft w:val="0"/>
      <w:marRight w:val="0"/>
      <w:marTop w:val="0"/>
      <w:marBottom w:val="0"/>
      <w:divBdr>
        <w:top w:val="none" w:sz="0" w:space="0" w:color="auto"/>
        <w:left w:val="none" w:sz="0" w:space="0" w:color="auto"/>
        <w:bottom w:val="none" w:sz="0" w:space="0" w:color="auto"/>
        <w:right w:val="none" w:sz="0" w:space="0" w:color="auto"/>
      </w:divBdr>
    </w:div>
    <w:div w:id="1194733420">
      <w:bodyDiv w:val="1"/>
      <w:marLeft w:val="0"/>
      <w:marRight w:val="0"/>
      <w:marTop w:val="0"/>
      <w:marBottom w:val="0"/>
      <w:divBdr>
        <w:top w:val="none" w:sz="0" w:space="0" w:color="auto"/>
        <w:left w:val="none" w:sz="0" w:space="0" w:color="auto"/>
        <w:bottom w:val="none" w:sz="0" w:space="0" w:color="auto"/>
        <w:right w:val="none" w:sz="0" w:space="0" w:color="auto"/>
      </w:divBdr>
    </w:div>
    <w:div w:id="1312248593">
      <w:bodyDiv w:val="1"/>
      <w:marLeft w:val="0"/>
      <w:marRight w:val="0"/>
      <w:marTop w:val="0"/>
      <w:marBottom w:val="0"/>
      <w:divBdr>
        <w:top w:val="none" w:sz="0" w:space="0" w:color="auto"/>
        <w:left w:val="none" w:sz="0" w:space="0" w:color="auto"/>
        <w:bottom w:val="none" w:sz="0" w:space="0" w:color="auto"/>
        <w:right w:val="none" w:sz="0" w:space="0" w:color="auto"/>
      </w:divBdr>
    </w:div>
    <w:div w:id="1320840318">
      <w:bodyDiv w:val="1"/>
      <w:marLeft w:val="0"/>
      <w:marRight w:val="0"/>
      <w:marTop w:val="0"/>
      <w:marBottom w:val="0"/>
      <w:divBdr>
        <w:top w:val="none" w:sz="0" w:space="0" w:color="auto"/>
        <w:left w:val="none" w:sz="0" w:space="0" w:color="auto"/>
        <w:bottom w:val="none" w:sz="0" w:space="0" w:color="auto"/>
        <w:right w:val="none" w:sz="0" w:space="0" w:color="auto"/>
      </w:divBdr>
    </w:div>
    <w:div w:id="1375423680">
      <w:bodyDiv w:val="1"/>
      <w:marLeft w:val="0"/>
      <w:marRight w:val="0"/>
      <w:marTop w:val="0"/>
      <w:marBottom w:val="0"/>
      <w:divBdr>
        <w:top w:val="none" w:sz="0" w:space="0" w:color="auto"/>
        <w:left w:val="none" w:sz="0" w:space="0" w:color="auto"/>
        <w:bottom w:val="none" w:sz="0" w:space="0" w:color="auto"/>
        <w:right w:val="none" w:sz="0" w:space="0" w:color="auto"/>
      </w:divBdr>
    </w:div>
    <w:div w:id="1471021530">
      <w:bodyDiv w:val="1"/>
      <w:marLeft w:val="0"/>
      <w:marRight w:val="0"/>
      <w:marTop w:val="0"/>
      <w:marBottom w:val="0"/>
      <w:divBdr>
        <w:top w:val="none" w:sz="0" w:space="0" w:color="auto"/>
        <w:left w:val="none" w:sz="0" w:space="0" w:color="auto"/>
        <w:bottom w:val="none" w:sz="0" w:space="0" w:color="auto"/>
        <w:right w:val="none" w:sz="0" w:space="0" w:color="auto"/>
      </w:divBdr>
    </w:div>
    <w:div w:id="1478377340">
      <w:bodyDiv w:val="1"/>
      <w:marLeft w:val="0"/>
      <w:marRight w:val="0"/>
      <w:marTop w:val="0"/>
      <w:marBottom w:val="0"/>
      <w:divBdr>
        <w:top w:val="none" w:sz="0" w:space="0" w:color="auto"/>
        <w:left w:val="none" w:sz="0" w:space="0" w:color="auto"/>
        <w:bottom w:val="none" w:sz="0" w:space="0" w:color="auto"/>
        <w:right w:val="none" w:sz="0" w:space="0" w:color="auto"/>
      </w:divBdr>
    </w:div>
    <w:div w:id="1485854617">
      <w:bodyDiv w:val="1"/>
      <w:marLeft w:val="0"/>
      <w:marRight w:val="0"/>
      <w:marTop w:val="0"/>
      <w:marBottom w:val="0"/>
      <w:divBdr>
        <w:top w:val="none" w:sz="0" w:space="0" w:color="auto"/>
        <w:left w:val="none" w:sz="0" w:space="0" w:color="auto"/>
        <w:bottom w:val="none" w:sz="0" w:space="0" w:color="auto"/>
        <w:right w:val="none" w:sz="0" w:space="0" w:color="auto"/>
      </w:divBdr>
    </w:div>
    <w:div w:id="1505970616">
      <w:bodyDiv w:val="1"/>
      <w:marLeft w:val="0"/>
      <w:marRight w:val="0"/>
      <w:marTop w:val="0"/>
      <w:marBottom w:val="0"/>
      <w:divBdr>
        <w:top w:val="none" w:sz="0" w:space="0" w:color="auto"/>
        <w:left w:val="none" w:sz="0" w:space="0" w:color="auto"/>
        <w:bottom w:val="none" w:sz="0" w:space="0" w:color="auto"/>
        <w:right w:val="none" w:sz="0" w:space="0" w:color="auto"/>
      </w:divBdr>
    </w:div>
    <w:div w:id="1559632471">
      <w:bodyDiv w:val="1"/>
      <w:marLeft w:val="0"/>
      <w:marRight w:val="0"/>
      <w:marTop w:val="0"/>
      <w:marBottom w:val="0"/>
      <w:divBdr>
        <w:top w:val="none" w:sz="0" w:space="0" w:color="auto"/>
        <w:left w:val="none" w:sz="0" w:space="0" w:color="auto"/>
        <w:bottom w:val="none" w:sz="0" w:space="0" w:color="auto"/>
        <w:right w:val="none" w:sz="0" w:space="0" w:color="auto"/>
      </w:divBdr>
    </w:div>
    <w:div w:id="1628852007">
      <w:bodyDiv w:val="1"/>
      <w:marLeft w:val="0"/>
      <w:marRight w:val="0"/>
      <w:marTop w:val="0"/>
      <w:marBottom w:val="0"/>
      <w:divBdr>
        <w:top w:val="none" w:sz="0" w:space="0" w:color="auto"/>
        <w:left w:val="none" w:sz="0" w:space="0" w:color="auto"/>
        <w:bottom w:val="none" w:sz="0" w:space="0" w:color="auto"/>
        <w:right w:val="none" w:sz="0" w:space="0" w:color="auto"/>
      </w:divBdr>
    </w:div>
    <w:div w:id="1757050322">
      <w:bodyDiv w:val="1"/>
      <w:marLeft w:val="0"/>
      <w:marRight w:val="0"/>
      <w:marTop w:val="0"/>
      <w:marBottom w:val="0"/>
      <w:divBdr>
        <w:top w:val="none" w:sz="0" w:space="0" w:color="auto"/>
        <w:left w:val="none" w:sz="0" w:space="0" w:color="auto"/>
        <w:bottom w:val="none" w:sz="0" w:space="0" w:color="auto"/>
        <w:right w:val="none" w:sz="0" w:space="0" w:color="auto"/>
      </w:divBdr>
    </w:div>
    <w:div w:id="1790468186">
      <w:bodyDiv w:val="1"/>
      <w:marLeft w:val="0"/>
      <w:marRight w:val="0"/>
      <w:marTop w:val="0"/>
      <w:marBottom w:val="0"/>
      <w:divBdr>
        <w:top w:val="none" w:sz="0" w:space="0" w:color="auto"/>
        <w:left w:val="none" w:sz="0" w:space="0" w:color="auto"/>
        <w:bottom w:val="none" w:sz="0" w:space="0" w:color="auto"/>
        <w:right w:val="none" w:sz="0" w:space="0" w:color="auto"/>
      </w:divBdr>
    </w:div>
    <w:div w:id="1848132971">
      <w:bodyDiv w:val="1"/>
      <w:marLeft w:val="0"/>
      <w:marRight w:val="0"/>
      <w:marTop w:val="0"/>
      <w:marBottom w:val="0"/>
      <w:divBdr>
        <w:top w:val="none" w:sz="0" w:space="0" w:color="auto"/>
        <w:left w:val="none" w:sz="0" w:space="0" w:color="auto"/>
        <w:bottom w:val="none" w:sz="0" w:space="0" w:color="auto"/>
        <w:right w:val="none" w:sz="0" w:space="0" w:color="auto"/>
      </w:divBdr>
    </w:div>
    <w:div w:id="1870021578">
      <w:bodyDiv w:val="1"/>
      <w:marLeft w:val="0"/>
      <w:marRight w:val="0"/>
      <w:marTop w:val="0"/>
      <w:marBottom w:val="0"/>
      <w:divBdr>
        <w:top w:val="none" w:sz="0" w:space="0" w:color="auto"/>
        <w:left w:val="none" w:sz="0" w:space="0" w:color="auto"/>
        <w:bottom w:val="none" w:sz="0" w:space="0" w:color="auto"/>
        <w:right w:val="none" w:sz="0" w:space="0" w:color="auto"/>
      </w:divBdr>
    </w:div>
    <w:div w:id="1900510564">
      <w:bodyDiv w:val="1"/>
      <w:marLeft w:val="0"/>
      <w:marRight w:val="0"/>
      <w:marTop w:val="0"/>
      <w:marBottom w:val="0"/>
      <w:divBdr>
        <w:top w:val="none" w:sz="0" w:space="0" w:color="auto"/>
        <w:left w:val="none" w:sz="0" w:space="0" w:color="auto"/>
        <w:bottom w:val="none" w:sz="0" w:space="0" w:color="auto"/>
        <w:right w:val="none" w:sz="0" w:space="0" w:color="auto"/>
      </w:divBdr>
    </w:div>
    <w:div w:id="1917548554">
      <w:bodyDiv w:val="1"/>
      <w:marLeft w:val="0"/>
      <w:marRight w:val="0"/>
      <w:marTop w:val="0"/>
      <w:marBottom w:val="0"/>
      <w:divBdr>
        <w:top w:val="none" w:sz="0" w:space="0" w:color="auto"/>
        <w:left w:val="none" w:sz="0" w:space="0" w:color="auto"/>
        <w:bottom w:val="none" w:sz="0" w:space="0" w:color="auto"/>
        <w:right w:val="none" w:sz="0" w:space="0" w:color="auto"/>
      </w:divBdr>
    </w:div>
    <w:div w:id="1944535838">
      <w:bodyDiv w:val="1"/>
      <w:marLeft w:val="0"/>
      <w:marRight w:val="0"/>
      <w:marTop w:val="0"/>
      <w:marBottom w:val="0"/>
      <w:divBdr>
        <w:top w:val="none" w:sz="0" w:space="0" w:color="auto"/>
        <w:left w:val="none" w:sz="0" w:space="0" w:color="auto"/>
        <w:bottom w:val="none" w:sz="0" w:space="0" w:color="auto"/>
        <w:right w:val="none" w:sz="0" w:space="0" w:color="auto"/>
      </w:divBdr>
    </w:div>
    <w:div w:id="1958101830">
      <w:bodyDiv w:val="1"/>
      <w:marLeft w:val="0"/>
      <w:marRight w:val="0"/>
      <w:marTop w:val="0"/>
      <w:marBottom w:val="0"/>
      <w:divBdr>
        <w:top w:val="none" w:sz="0" w:space="0" w:color="auto"/>
        <w:left w:val="none" w:sz="0" w:space="0" w:color="auto"/>
        <w:bottom w:val="none" w:sz="0" w:space="0" w:color="auto"/>
        <w:right w:val="none" w:sz="0" w:space="0" w:color="auto"/>
      </w:divBdr>
    </w:div>
    <w:div w:id="2008091609">
      <w:bodyDiv w:val="1"/>
      <w:marLeft w:val="0"/>
      <w:marRight w:val="0"/>
      <w:marTop w:val="0"/>
      <w:marBottom w:val="0"/>
      <w:divBdr>
        <w:top w:val="none" w:sz="0" w:space="0" w:color="auto"/>
        <w:left w:val="none" w:sz="0" w:space="0" w:color="auto"/>
        <w:bottom w:val="none" w:sz="0" w:space="0" w:color="auto"/>
        <w:right w:val="none" w:sz="0" w:space="0" w:color="auto"/>
      </w:divBdr>
    </w:div>
    <w:div w:id="2050063207">
      <w:bodyDiv w:val="1"/>
      <w:marLeft w:val="0"/>
      <w:marRight w:val="0"/>
      <w:marTop w:val="0"/>
      <w:marBottom w:val="0"/>
      <w:divBdr>
        <w:top w:val="none" w:sz="0" w:space="0" w:color="auto"/>
        <w:left w:val="none" w:sz="0" w:space="0" w:color="auto"/>
        <w:bottom w:val="none" w:sz="0" w:space="0" w:color="auto"/>
        <w:right w:val="none" w:sz="0" w:space="0" w:color="auto"/>
      </w:divBdr>
    </w:div>
    <w:div w:id="2053075714">
      <w:bodyDiv w:val="1"/>
      <w:marLeft w:val="0"/>
      <w:marRight w:val="0"/>
      <w:marTop w:val="0"/>
      <w:marBottom w:val="0"/>
      <w:divBdr>
        <w:top w:val="none" w:sz="0" w:space="0" w:color="auto"/>
        <w:left w:val="none" w:sz="0" w:space="0" w:color="auto"/>
        <w:bottom w:val="none" w:sz="0" w:space="0" w:color="auto"/>
        <w:right w:val="none" w:sz="0" w:space="0" w:color="auto"/>
      </w:divBdr>
    </w:div>
    <w:div w:id="2108039340">
      <w:bodyDiv w:val="1"/>
      <w:marLeft w:val="0"/>
      <w:marRight w:val="0"/>
      <w:marTop w:val="0"/>
      <w:marBottom w:val="0"/>
      <w:divBdr>
        <w:top w:val="none" w:sz="0" w:space="0" w:color="auto"/>
        <w:left w:val="none" w:sz="0" w:space="0" w:color="auto"/>
        <w:bottom w:val="none" w:sz="0" w:space="0" w:color="auto"/>
        <w:right w:val="none" w:sz="0" w:space="0" w:color="auto"/>
      </w:divBdr>
    </w:div>
    <w:div w:id="210837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cdc.europa.eu/en/healthtopics/chlamydia/Pages/index.aspx" TargetMode="External"/><Relationship Id="rId18" Type="http://schemas.openxmlformats.org/officeDocument/2006/relationships/hyperlink" Target="https://www.ecdc.europa.eu/en/publications-data/gonococcal-antimicrobial-susceptibility-surveillance-2020" TargetMode="External"/><Relationship Id="rId26" Type="http://schemas.openxmlformats.org/officeDocument/2006/relationships/hyperlink" Target="http://www.ecdc.europa.eu/en/healthtopics/syphilis/Pages/index.aspx" TargetMode="External"/><Relationship Id="rId3" Type="http://schemas.openxmlformats.org/officeDocument/2006/relationships/customXml" Target="../customXml/item3.xml"/><Relationship Id="rId21" Type="http://schemas.openxmlformats.org/officeDocument/2006/relationships/hyperlink" Target="https://www.ecdc.europa.eu/sites/default/files/documents/syphilis-annual-epidemiological-report-2021.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cdc.europa.eu/sites/default/files/documents/gonorrhoea-annual-epidemiological-report-2021_0.pdf"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ecdc.europa.eu/en/healthtopics/gonorrhoea/Pages/index.aspx" TargetMode="External"/><Relationship Id="rId20" Type="http://schemas.openxmlformats.org/officeDocument/2006/relationships/hyperlink" Target="http://www.ecdc.europa.eu/en/healthtopics/syphilis/Pages/index.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ecdc.europa.eu/en/healthtopics/chlamydia/lymphogranuloma-venereum/Pages/lymphogranuloma-venereum.aspx"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dc.europa.eu/en/press/news/_layouts/forms/News_DispForm.aspx?List=8db7286c-fe2d-476c-9133-18ff4cb1b568&amp;ID=1026" TargetMode="External"/><Relationship Id="rId22" Type="http://schemas.openxmlformats.org/officeDocument/2006/relationships/hyperlink" Target="https://www.ecdc.europa.eu/en/publications-data/syphilis-and-congenital-syphilis-europe-review-epidemiological-trends-2007-2018" TargetMode="External"/><Relationship Id="rId27"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epp.eurostat.ec.europa.eu/portal/page/portal/eurostat/home/" TargetMode="External"/><Relationship Id="rId3" Type="http://schemas.openxmlformats.org/officeDocument/2006/relationships/hyperlink" Target="https://eur-lex.europa.eu/legal-content/EN/TXT/PDF/?uri=CELEX:32018D0945&amp;from=EN" TargetMode="External"/><Relationship Id="rId7" Type="http://schemas.openxmlformats.org/officeDocument/2006/relationships/hyperlink" Target="https://eur-lex.europa.eu/legal-content/EN/TXT/PDF/?uri=CELEX:32018D0945&amp;from=EN" TargetMode="External"/><Relationship Id="rId2" Type="http://schemas.openxmlformats.org/officeDocument/2006/relationships/hyperlink" Target="http://epp.eurostat.ec.europa.eu/portal/page/portal/eurostat/home/" TargetMode="External"/><Relationship Id="rId1" Type="http://schemas.openxmlformats.org/officeDocument/2006/relationships/hyperlink" Target="https://eur-lex.europa.eu/legal-content/EN/TXT/PDF/?uri=CELEX:32018D0945&amp;from=EN" TargetMode="External"/><Relationship Id="rId6" Type="http://schemas.openxmlformats.org/officeDocument/2006/relationships/hyperlink" Target="http://epp.eurostat.ec.europa.eu/portal/page/portal/eurostat/home/" TargetMode="External"/><Relationship Id="rId5" Type="http://schemas.openxmlformats.org/officeDocument/2006/relationships/hyperlink" Target="https://eur-lex.europa.eu/legal-content/EN/TXT/PDF/?uri=CELEX:32018D0945&amp;from=EN" TargetMode="External"/><Relationship Id="rId10" Type="http://schemas.openxmlformats.org/officeDocument/2006/relationships/hyperlink" Target="http://epp.eurostat.ec.europa.eu/portal/page/portal/eurostat/home/" TargetMode="External"/><Relationship Id="rId4" Type="http://schemas.openxmlformats.org/officeDocument/2006/relationships/hyperlink" Target="http://epp.eurostat.ec.europa.eu/portal/page/portal/eurostat/home/" TargetMode="External"/><Relationship Id="rId9" Type="http://schemas.openxmlformats.org/officeDocument/2006/relationships/hyperlink" Target="https://eur-lex.europa.eu/legal-content/EN/TXT/PDF/?uri=CELEX:32018D094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d844e80-7513-4d59-8106-40a8f6a315d3">
      <Terms xmlns="http://schemas.microsoft.com/office/infopath/2007/PartnerControls"/>
    </TaxKeywordTaxHTField>
    <TaxCatchAll xmlns="fe73b3f6-a427-4a99-886e-da32c6de835d">
      <Value>2</Value>
    </TaxCatchAll>
    <_dlc_DocIdPersistId xmlns="ad844e80-7513-4d59-8106-40a8f6a315d3">false</_dlc_DocIdPersistId>
    <_dlc_DocId xmlns="ad844e80-7513-4d59-8106-40a8f6a315d3">IORGSBT-2104121967-68488</_dlc_DocId>
    <_dlc_DocIdUrl xmlns="ad844e80-7513-4d59-8106-40a8f6a315d3">
      <Url>https://ecdc365.sharepoint.com/teams/iorg_dpr_sbt/_layouts/15/DocIdRedir.aspx?ID=IORGSBT-2104121967-68488</Url>
      <Description>IORGSBT-2104121967-68488</Description>
    </_dlc_DocIdUrl>
    <b489bfe21c7249aba6a1ae186fa4e51c xmlns="fe73b3f6-a427-4a99-886e-da32c6de835d">
      <Terms xmlns="http://schemas.microsoft.com/office/infopath/2007/PartnerControl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Otilia Mardh</DisplayName>
        <AccountId>39</AccountId>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na274824997947589a1bfdfb0b645b50 xmlns="fe73b3f6-a427-4a99-886e-da32c6de835d">
      <Terms xmlns="http://schemas.microsoft.com/office/infopath/2007/PartnerControls"/>
    </na274824997947589a1bfdfb0b645b50>
    <ECMX_OPERATIONALID xmlns="4240f11c-4df2-4a37-9be1-bdf0d4dfc218" xsi:nil="true"/>
    <lcf76f155ced4ddcb4097134ff3c332f xmlns="fcde38cf-7e98-4223-9237-53d611fa0c77">
      <Terms xmlns="http://schemas.microsoft.com/office/infopath/2007/PartnerControls"/>
    </lcf76f155ced4ddcb4097134ff3c332f>
    <documentstatus xmlns="fcde38cf-7e98-4223-9237-53d611fa0c77">valid</documentstatu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5A8DB7CBF7F5BD4A958F1A4CFEB2CF95" ma:contentTypeVersion="155" ma:contentTypeDescription="Create a new document." ma:contentTypeScope="" ma:versionID="917ed32add86a67b5409875b303a2a0d">
  <xsd:schema xmlns:xsd="http://www.w3.org/2001/XMLSchema" xmlns:xs="http://www.w3.org/2001/XMLSchema" xmlns:p="http://schemas.microsoft.com/office/2006/metadata/properties" xmlns:ns1="http://schemas.microsoft.com/sharepoint/v3" xmlns:ns2="4240f11c-4df2-4a37-9be1-bdf0d4dfc218" xmlns:ns3="fe73b3f6-a427-4a99-886e-da32c6de835d" xmlns:ns4="ad844e80-7513-4d59-8106-40a8f6a315d3" xmlns:ns5="fcde38cf-7e98-4223-9237-53d611fa0c77" targetNamespace="http://schemas.microsoft.com/office/2006/metadata/properties" ma:root="true" ma:fieldsID="000b351577bddda6106c5bba12389338" ns1:_="" ns2:_="" ns3:_="" ns4:_="" ns5:_="">
    <xsd:import namespace="http://schemas.microsoft.com/sharepoint/v3"/>
    <xsd:import namespace="4240f11c-4df2-4a37-9be1-bdf0d4dfc218"/>
    <xsd:import namespace="fe73b3f6-a427-4a99-886e-da32c6de835d"/>
    <xsd:import namespace="ad844e80-7513-4d59-8106-40a8f6a315d3"/>
    <xsd:import namespace="fcde38cf-7e98-4223-9237-53d611fa0c77"/>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documentstatus" minOccurs="0"/>
                <xsd:element ref="ns4:_dlc_DocId" minOccurs="0"/>
                <xsd:element ref="ns4:_dlc_DocIdUrl" minOccurs="0"/>
                <xsd:element ref="ns4:_dlc_DocIdPersistId" minOccurs="0"/>
                <xsd:element ref="ns5:MediaServiceObjectDetectorVersion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372;#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83a8e4-c100-49aa-8573-21d3e15ce477}"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83a8e4-c100-49aa-8573-21d3e15ce477}"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de38cf-7e98-4223-9237-53d611fa0c77" elementFormDefault="qualified">
    <xsd:import namespace="http://schemas.microsoft.com/office/2006/documentManagement/types"/>
    <xsd:import namespace="http://schemas.microsoft.com/office/infopath/2007/PartnerControls"/>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14c281f0-fdb2-43d6-8bd5-8268950107ba"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description="" ma:indexed="true" ma:internalName="MediaServiceLocation" ma:readOnly="true">
      <xsd:simpleType>
        <xsd:restriction base="dms:Text"/>
      </xsd:simpleType>
    </xsd:element>
    <xsd:element name="documentstatus" ma:index="36" nillable="true" ma:displayName="document status" ma:default="valid" ma:description="indication of validity status of the document" ma:format="Dropdown" ma:internalName="documentstatus">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13953-4FB4-4286-A7C4-D0E388207269}">
  <ds:schemaRefs>
    <ds:schemaRef ds:uri="Microsoft.SharePoint.Taxonomy.ContentTypeSync"/>
  </ds:schemaRefs>
</ds:datastoreItem>
</file>

<file path=customXml/itemProps2.xml><?xml version="1.0" encoding="utf-8"?>
<ds:datastoreItem xmlns:ds="http://schemas.openxmlformats.org/officeDocument/2006/customXml" ds:itemID="{061785A9-BC8C-469B-B397-92C59C6808FF}">
  <ds:schemaRefs>
    <ds:schemaRef ds:uri="http://schemas.microsoft.com/office/2006/metadata/properties"/>
    <ds:schemaRef ds:uri="http://purl.org/dc/dcmitype/"/>
    <ds:schemaRef ds:uri="http://schemas.openxmlformats.org/package/2006/metadata/core-properties"/>
    <ds:schemaRef ds:uri="4240f11c-4df2-4a37-9be1-bdf0d4dfc218"/>
    <ds:schemaRef ds:uri="fe73b3f6-a427-4a99-886e-da32c6de835d"/>
    <ds:schemaRef ds:uri="http://schemas.microsoft.com/office/2006/documentManagement/types"/>
    <ds:schemaRef ds:uri="http://www.w3.org/XML/1998/namespace"/>
    <ds:schemaRef ds:uri="http://schemas.microsoft.com/office/infopath/2007/PartnerControls"/>
    <ds:schemaRef ds:uri="ad844e80-7513-4d59-8106-40a8f6a315d3"/>
    <ds:schemaRef ds:uri="http://purl.org/dc/terms/"/>
    <ds:schemaRef ds:uri="fcde38cf-7e98-4223-9237-53d611fa0c77"/>
    <ds:schemaRef ds:uri="http://schemas.microsoft.com/sharepoint/v3"/>
    <ds:schemaRef ds:uri="http://purl.org/dc/elements/1.1/"/>
  </ds:schemaRefs>
</ds:datastoreItem>
</file>

<file path=customXml/itemProps3.xml><?xml version="1.0" encoding="utf-8"?>
<ds:datastoreItem xmlns:ds="http://schemas.openxmlformats.org/officeDocument/2006/customXml" ds:itemID="{DDF5FDCD-EEEC-411C-8F6B-ED3A2542A089}">
  <ds:schemaRefs>
    <ds:schemaRef ds:uri="http://schemas.openxmlformats.org/officeDocument/2006/bibliography"/>
  </ds:schemaRefs>
</ds:datastoreItem>
</file>

<file path=customXml/itemProps4.xml><?xml version="1.0" encoding="utf-8"?>
<ds:datastoreItem xmlns:ds="http://schemas.openxmlformats.org/officeDocument/2006/customXml" ds:itemID="{FA095369-6215-4342-BE05-D6261CC9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0f11c-4df2-4a37-9be1-bdf0d4dfc218"/>
    <ds:schemaRef ds:uri="fe73b3f6-a427-4a99-886e-da32c6de835d"/>
    <ds:schemaRef ds:uri="ad844e80-7513-4d59-8106-40a8f6a315d3"/>
    <ds:schemaRef ds:uri="fcde38cf-7e98-4223-9237-53d611fa0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D3C4CF-6912-47C4-9629-918D53989942}">
  <ds:schemaRefs>
    <ds:schemaRef ds:uri="http://schemas.microsoft.com/sharepoint/events"/>
  </ds:schemaRefs>
</ds:datastoreItem>
</file>

<file path=customXml/itemProps6.xml><?xml version="1.0" encoding="utf-8"?>
<ds:datastoreItem xmlns:ds="http://schemas.openxmlformats.org/officeDocument/2006/customXml" ds:itemID="{84D1E44C-C389-4F7B-B984-0AC9239CC4E2}">
  <ds:schemaRefs>
    <ds:schemaRef ds:uri="http://schemas.microsoft.com/sharepoint/v3/contenttype/forms"/>
  </ds:schemaRefs>
</ds:datastoreItem>
</file>

<file path=docMetadata/LabelInfo.xml><?xml version="1.0" encoding="utf-8"?>
<clbl:labelList xmlns:clbl="http://schemas.microsoft.com/office/2020/mipLabelMetadata">
  <clbl:label id="{e1ae1734-edf5-47c2-b34c-0d487d4ec322}"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18</TotalTime>
  <Pages>21</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Gonorrhoea Disease Information</vt:lpstr>
    </vt:vector>
  </TitlesOfParts>
  <Company>ECDC</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Gonorrhoea Disease Information</dc:title>
  <dc:subject/>
  <dc:creator>Gianfranco.Spiteri@ecdc.europa.eu</dc:creator>
  <cp:keywords/>
  <cp:lastModifiedBy>Lina Nerlander</cp:lastModifiedBy>
  <cp:revision>18</cp:revision>
  <cp:lastPrinted>2023-03-16T04:36:00Z</cp:lastPrinted>
  <dcterms:created xsi:type="dcterms:W3CDTF">2024-08-26T13:01:00Z</dcterms:created>
  <dcterms:modified xsi:type="dcterms:W3CDTF">2024-08-29T15:44:00Z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0x010100EE95EE7DB3A482488E68FA4A7091999F005A8DB7CBF7F5BD4A958F1A4CFEB2CF95</vt:lpwstr>
  </property>
  <property fmtid="{D5CDD505-2E9C-101B-9397-08002B2CF9AE}" pid="3" name="_dlc_DocIdItemGuid">
    <vt:lpwstr>f5060331-a4ce-44af-bc9b-48a1f53fa91b</vt:lpwstr>
  </property>
  <property fmtid="{D5CDD505-2E9C-101B-9397-08002B2CF9AE}" pid="4" name="ECDC_Subject_does">
    <vt:lpwstr/>
  </property>
  <property fmtid="{D5CDD505-2E9C-101B-9397-08002B2CF9AE}" pid="5" name="DMS Product">
    <vt:lpwstr/>
  </property>
  <property fmtid="{D5CDD505-2E9C-101B-9397-08002B2CF9AE}" pid="6" name="TaxKeyword">
    <vt:lpwstr/>
  </property>
  <property fmtid="{D5CDD505-2E9C-101B-9397-08002B2CF9AE}" pid="7" name="ECDC_Target_audience">
    <vt:lpwstr/>
  </property>
  <property fmtid="{D5CDD505-2E9C-101B-9397-08002B2CF9AE}" pid="8" name="ECDC_DMS_Country">
    <vt:lpwstr/>
  </property>
  <property fmtid="{D5CDD505-2E9C-101B-9397-08002B2CF9AE}" pid="9" name="ECDC_DMS_Eurosurveillance_Document_Type">
    <vt:lpwstr/>
  </property>
  <property fmtid="{D5CDD505-2E9C-101B-9397-08002B2CF9AE}" pid="10" name="ECDC_DMS_MIS_Activity_code">
    <vt:lpwstr/>
  </property>
  <property fmtid="{D5CDD505-2E9C-101B-9397-08002B2CF9AE}" pid="11" name="ECDC_DMS_Organigramme">
    <vt:lpwstr>603;#Epidemiological Methods|27d02288-1011-4eac-98b3-98b97301bd12;#595;#Surveillance|e245debe-c0a6-469f-b09a-56488ff7aacd</vt:lpwstr>
  </property>
  <property fmtid="{D5CDD505-2E9C-101B-9397-08002B2CF9AE}" pid="12" name="ECDC_DMS_Project">
    <vt:lpwstr/>
  </property>
  <property fmtid="{D5CDD505-2E9C-101B-9397-08002B2CF9AE}" pid="13" name="ECDC_Subject_who">
    <vt:lpwstr/>
  </property>
  <property fmtid="{D5CDD505-2E9C-101B-9397-08002B2CF9AE}" pid="14" name="Meeting_x0020_Code">
    <vt:lpwstr/>
  </property>
  <property fmtid="{D5CDD505-2E9C-101B-9397-08002B2CF9AE}" pid="15" name="ECDC_Subject_what">
    <vt:lpwstr>1394;#Surveillance Atlas for Infectious Disease|3b1559ec-00bd-4ea9-bd6a-3b76b281ae02;#72;#sexually transmitted infection|5412d8cf-baed-4a5f-8c7b-1a15859f554e</vt:lpwstr>
  </property>
  <property fmtid="{D5CDD505-2E9C-101B-9397-08002B2CF9AE}" pid="16" name="ECDC_DMS_Surveillance_Document_Type">
    <vt:lpwstr>265;#Non-classified Surveillance Document|504a86c3-b8aa-4376-9806-04226c98f67d</vt:lpwstr>
  </property>
  <property fmtid="{D5CDD505-2E9C-101B-9397-08002B2CF9AE}" pid="17" name="Meeting Code">
    <vt:lpwstr/>
  </property>
  <property fmtid="{D5CDD505-2E9C-101B-9397-08002B2CF9AE}" pid="18" name="ECDC_DMS_RestrictedAccess">
    <vt:lpwstr/>
  </property>
  <property fmtid="{D5CDD505-2E9C-101B-9397-08002B2CF9AE}" pid="19" name="_dlc_DocId">
    <vt:lpwstr>DOI1006-9-1168</vt:lpwstr>
  </property>
  <property fmtid="{D5CDD505-2E9C-101B-9397-08002B2CF9AE}" pid="20" name="_dlc_DocIdPersistId">
    <vt:bool>false</vt:bool>
  </property>
  <property fmtid="{D5CDD505-2E9C-101B-9397-08002B2CF9AE}" pid="21" name="_dlc_DocIdUrl">
    <vt:lpwstr>http://dms.ecdcnet.europa.eu/sites/srs/_layouts/15/DocIdRedir.aspx?ID=DOI1006-9-1168, DOI1006-9-1168</vt:lpwstr>
  </property>
  <property fmtid="{D5CDD505-2E9C-101B-9397-08002B2CF9AE}" pid="22" name="Owner">
    <vt:lpwstr>Gianfranco Spiteri</vt:lpwstr>
  </property>
  <property fmtid="{D5CDD505-2E9C-101B-9397-08002B2CF9AE}" pid="23" name="edrm_document_type">
    <vt:lpwstr/>
  </property>
  <property fmtid="{D5CDD505-2E9C-101B-9397-08002B2CF9AE}" pid="24" name="edrm_function">
    <vt:lpwstr/>
  </property>
  <property fmtid="{D5CDD505-2E9C-101B-9397-08002B2CF9AE}" pid="25" name="edrm_contributor">
    <vt:lpwstr/>
  </property>
  <property fmtid="{D5CDD505-2E9C-101B-9397-08002B2CF9AE}" pid="26" name="edrm_languageTaxHTField0">
    <vt:lpwstr/>
  </property>
  <property fmtid="{D5CDD505-2E9C-101B-9397-08002B2CF9AE}" pid="27" name="edrm_business_id">
    <vt:lpwstr/>
  </property>
  <property fmtid="{D5CDD505-2E9C-101B-9397-08002B2CF9AE}" pid="28" name="edrm_functionTaxHTField0">
    <vt:lpwstr/>
  </property>
  <property fmtid="{D5CDD505-2E9C-101B-9397-08002B2CF9AE}" pid="29" name="edrm_source_id">
    <vt:lpwstr/>
  </property>
  <property fmtid="{D5CDD505-2E9C-101B-9397-08002B2CF9AE}" pid="30" name="edrm_entityTaxHTField0">
    <vt:lpwstr/>
  </property>
  <property fmtid="{D5CDD505-2E9C-101B-9397-08002B2CF9AE}" pid="31" name="edrm_disease">
    <vt:lpwstr/>
  </property>
  <property fmtid="{D5CDD505-2E9C-101B-9397-08002B2CF9AE}" pid="32" name="DocumentSetDescription">
    <vt:lpwstr/>
  </property>
  <property fmtid="{D5CDD505-2E9C-101B-9397-08002B2CF9AE}" pid="33" name="xd_ProgID">
    <vt:lpwstr/>
  </property>
  <property fmtid="{D5CDD505-2E9C-101B-9397-08002B2CF9AE}" pid="34" name="edrm_diseaseTaxHTField0">
    <vt:lpwstr/>
  </property>
  <property fmtid="{D5CDD505-2E9C-101B-9397-08002B2CF9AE}" pid="35" name="TemplateUrl">
    <vt:lpwstr/>
  </property>
  <property fmtid="{D5CDD505-2E9C-101B-9397-08002B2CF9AE}" pid="36" name="edrm_abstract">
    <vt:lpwstr/>
  </property>
  <property fmtid="{D5CDD505-2E9C-101B-9397-08002B2CF9AE}" pid="37" name="edrm_document_typeTaxHTField0">
    <vt:lpwstr/>
  </property>
  <property fmtid="{D5CDD505-2E9C-101B-9397-08002B2CF9AE}" pid="38" name="edrm_security">
    <vt:lpwstr/>
  </property>
  <property fmtid="{D5CDD505-2E9C-101B-9397-08002B2CF9AE}" pid="39" name="edrm_language">
    <vt:lpwstr/>
  </property>
  <property fmtid="{D5CDD505-2E9C-101B-9397-08002B2CF9AE}" pid="40" name="edrm_statusTaxHTField0">
    <vt:lpwstr/>
  </property>
  <property fmtid="{D5CDD505-2E9C-101B-9397-08002B2CF9AE}" pid="41" name="edrm_source">
    <vt:lpwstr/>
  </property>
  <property fmtid="{D5CDD505-2E9C-101B-9397-08002B2CF9AE}" pid="42" name="edrm_entity">
    <vt:lpwstr/>
  </property>
  <property fmtid="{D5CDD505-2E9C-101B-9397-08002B2CF9AE}" pid="43" name="edrm_institution">
    <vt:lpwstr/>
  </property>
  <property fmtid="{D5CDD505-2E9C-101B-9397-08002B2CF9AE}" pid="44" name="edrm_spatial">
    <vt:lpwstr/>
  </property>
  <property fmtid="{D5CDD505-2E9C-101B-9397-08002B2CF9AE}" pid="45" name="edrm_description">
    <vt:lpwstr/>
  </property>
  <property fmtid="{D5CDD505-2E9C-101B-9397-08002B2CF9AE}" pid="46" name="edrm_securityTaxHTField0">
    <vt:lpwstr/>
  </property>
  <property fmtid="{D5CDD505-2E9C-101B-9397-08002B2CF9AE}" pid="47" name="edrm_status">
    <vt:lpwstr/>
  </property>
  <property fmtid="{D5CDD505-2E9C-101B-9397-08002B2CF9AE}" pid="48" name="edrm_spatialTaxHTField0">
    <vt:lpwstr/>
  </property>
  <property fmtid="{D5CDD505-2E9C-101B-9397-08002B2CF9AE}" pid="49" name="xd_Signature">
    <vt:bool>false</vt:bool>
  </property>
  <property fmtid="{D5CDD505-2E9C-101B-9397-08002B2CF9AE}" pid="50" name="edrm_institutionTaxHTField0">
    <vt:lpwstr/>
  </property>
  <property fmtid="{D5CDD505-2E9C-101B-9397-08002B2CF9AE}" pid="51" name="edrm_destination">
    <vt:lpwstr/>
  </property>
  <property fmtid="{D5CDD505-2E9C-101B-9397-08002B2CF9AE}" pid="52" name="edrm_temporal">
    <vt:lpwstr/>
  </property>
  <property fmtid="{D5CDD505-2E9C-101B-9397-08002B2CF9AE}" pid="53" name="edrm_relation">
    <vt:lpwstr/>
  </property>
  <property fmtid="{D5CDD505-2E9C-101B-9397-08002B2CF9AE}" pid="54" name="ECMX_ENTITY">
    <vt:lpwstr/>
  </property>
  <property fmtid="{D5CDD505-2E9C-101B-9397-08002B2CF9AE}" pid="55" name="ECMX_LIFECYCLE">
    <vt:lpwstr>2;#Active|50127695-0d4f-4ac1-ab93-ebc716c3e584</vt:lpwstr>
  </property>
  <property fmtid="{D5CDD505-2E9C-101B-9397-08002B2CF9AE}" pid="56" name="_ExtendedDescription">
    <vt:lpwstr/>
  </property>
  <property fmtid="{D5CDD505-2E9C-101B-9397-08002B2CF9AE}" pid="57" name="ECMX_DOCUMENTSTATUS">
    <vt:lpwstr/>
  </property>
  <property fmtid="{D5CDD505-2E9C-101B-9397-08002B2CF9AE}" pid="58" name="ECMX_DISEASEPATHOGEN">
    <vt:lpwstr/>
  </property>
  <property fmtid="{D5CDD505-2E9C-101B-9397-08002B2CF9AE}" pid="59" name="ECMX_DOCUMENTTYPE">
    <vt:lpwstr/>
  </property>
  <property fmtid="{D5CDD505-2E9C-101B-9397-08002B2CF9AE}" pid="60" name="ECMX_CATEGORYLABEL">
    <vt:lpwstr/>
  </property>
  <property fmtid="{D5CDD505-2E9C-101B-9397-08002B2CF9AE}" pid="61" name="MediaServiceImageTags">
    <vt:lpwstr/>
  </property>
  <property fmtid="{D5CDD505-2E9C-101B-9397-08002B2CF9AE}" pid="62" name="MSIP_Label_5d6aa37e-3a89-4bd8-9367-95b8219209ae_SetDate">
    <vt:lpwstr>2023-03-09T09:04:30Z</vt:lpwstr>
  </property>
  <property fmtid="{D5CDD505-2E9C-101B-9397-08002B2CF9AE}" pid="63" name="MSIP_Label_5d6aa37e-3a89-4bd8-9367-95b8219209ae_Name">
    <vt:lpwstr>NORMAL information</vt:lpwstr>
  </property>
  <property fmtid="{D5CDD505-2E9C-101B-9397-08002B2CF9AE}" pid="64" name="MSIP_Label_5d6aa37e-3a89-4bd8-9367-95b8219209ae_ActionId">
    <vt:lpwstr>8237257a-d998-45f3-b952-db8f0b4d12ff</vt:lpwstr>
  </property>
  <property fmtid="{D5CDD505-2E9C-101B-9397-08002B2CF9AE}" pid="65" name="MSIP_Label_5d6aa37e-3a89-4bd8-9367-95b8219209ae_ContentBits">
    <vt:lpwstr>1</vt:lpwstr>
  </property>
  <property fmtid="{D5CDD505-2E9C-101B-9397-08002B2CF9AE}" pid="66" name="MSIP_Label_e1ae1734-edf5-47c2-b34c-0d487d4ec322_Enabled">
    <vt:lpwstr>true</vt:lpwstr>
  </property>
  <property fmtid="{D5CDD505-2E9C-101B-9397-08002B2CF9AE}" pid="67" name="MSIP_Label_e1ae1734-edf5-47c2-b34c-0d487d4ec322_SetDate">
    <vt:lpwstr>2023-03-09T09:04:33Z</vt:lpwstr>
  </property>
  <property fmtid="{D5CDD505-2E9C-101B-9397-08002B2CF9AE}" pid="68" name="MSIP_Label_e1ae1734-edf5-47c2-b34c-0d487d4ec322_Method">
    <vt:lpwstr>Privileged</vt:lpwstr>
  </property>
  <property fmtid="{D5CDD505-2E9C-101B-9397-08002B2CF9AE}" pid="69" name="MSIP_Label_e1ae1734-edf5-47c2-b34c-0d487d4ec322_Name">
    <vt:lpwstr>PUBLIC information</vt:lpwstr>
  </property>
  <property fmtid="{D5CDD505-2E9C-101B-9397-08002B2CF9AE}" pid="70" name="MSIP_Label_e1ae1734-edf5-47c2-b34c-0d487d4ec322_SiteId">
    <vt:lpwstr>6ad73702-409c-4046-ae59-cc4bea334507</vt:lpwstr>
  </property>
  <property fmtid="{D5CDD505-2E9C-101B-9397-08002B2CF9AE}" pid="71" name="MSIP_Label_e1ae1734-edf5-47c2-b34c-0d487d4ec322_ActionId">
    <vt:lpwstr>b953cc3c-e422-4fb3-a5c5-8d7643b53005</vt:lpwstr>
  </property>
  <property fmtid="{D5CDD505-2E9C-101B-9397-08002B2CF9AE}" pid="72" name="MSIP_Label_e1ae1734-edf5-47c2-b34c-0d487d4ec322_ContentBits">
    <vt:lpwstr>0</vt:lpwstr>
  </property>
</Properties>
</file>